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Performance Checkup Report</w:t>
      </w:r>
    </w:p>
    <w:p>
      <w:pPr>
        <w:pStyle w:val="Subtitle"/>
      </w:pPr>
      <w:r>
        <w:t xml:space="preserve">NovaPay SpA — Demo</w:t>
      </w:r>
    </w:p>
    <w:p>
      <w:pPr>
        <w:pStyle w:val="Date"/>
      </w:pPr>
      <w:r>
        <w:t xml:space="preserve">March 2026</w:t>
      </w:r>
    </w:p>
    <w:p>
      <w:pPr>
        <w:pStyle w:val="FirstParagraph"/>
      </w:pPr>
      <w:r>
        <w:drawing>
          <wp:inline>
            <wp:extent cx="1874520" cy="426453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assets/logo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4520" cy="4264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br/>
      </w:r>
    </w:p>
    <w:bookmarkStart w:id="19" w:name="performance-checkup"/>
    <w:p>
      <w:pPr>
        <w:pStyle w:val="Heading1"/>
      </w:pPr>
      <w:r>
        <w:t xml:space="preserve">PERFORMANCE CHECKUP</w:t>
      </w:r>
    </w:p>
    <w:p>
      <w:pPr>
        <w:pStyle w:val="FirstParagraph"/>
      </w:pPr>
      <w:r>
        <w:rPr>
          <w:b/>
          <w:bCs/>
        </w:rPr>
        <w:t xml:space="preserve">NovaPay SpA — Payment Processing Platform</w:t>
      </w:r>
    </w:p>
    <w:p>
      <w:pPr>
        <w:pStyle w:val="BodyText"/>
      </w:pPr>
      <w:r>
        <w:t xml:space="preserve">March 2026 · VANTX · hello@vantx.io</w:t>
      </w:r>
    </w:p>
    <w:bookmarkEnd w:id="19"/>
    <w:bookmarkStart w:id="21" w:name="executive-summary"/>
    <w:p>
      <w:pPr>
        <w:pStyle w:val="Heading1"/>
      </w:pPr>
      <w:r>
        <w:t xml:space="preserve">Executive Summary</w:t>
      </w:r>
    </w:p>
    <w:p>
      <w:pPr>
        <w:pStyle w:val="FirstParagraph"/>
      </w:pPr>
      <w:r>
        <w:t xml:space="preserve">NovaPay’s payment processing platform was evaluated over 5 business days. The evaluation included architecture review, load testing (baseline + stress + spike), web performance audit (Core Web Vitals + Lighthouse), and monitoring assessment.</w:t>
      </w:r>
    </w:p>
    <w:p>
      <w:pPr>
        <w:pStyle w:val="BodyText"/>
      </w:pPr>
      <w:r>
        <w:rPr>
          <w:b/>
          <w:bCs/>
        </w:rPr>
        <w:t xml:space="preserve">Current capacity:</w:t>
      </w:r>
      <w:r>
        <w:t xml:space="preserve"> </w:t>
      </w:r>
      <w:r>
        <w:t xml:space="preserve">320 TPS (transactions per second) before degradation.</w:t>
      </w:r>
      <w:r>
        <w:t xml:space="preserve"> </w:t>
      </w:r>
      <w:r>
        <w:rPr>
          <w:b/>
          <w:bCs/>
        </w:rPr>
        <w:t xml:space="preserve">Breakpoint:</w:t>
      </w:r>
      <w:r>
        <w:t xml:space="preserve"> </w:t>
      </w:r>
      <w:r>
        <w:t xml:space="preserve">380 TPS — latency exceeds 2 seconds, error rate &gt;5%.</w:t>
      </w:r>
      <w:r>
        <w:t xml:space="preserve"> </w:t>
      </w:r>
      <w:r>
        <w:rPr>
          <w:b/>
          <w:bCs/>
        </w:rPr>
        <w:t xml:space="preserve">Target capacity:</w:t>
      </w:r>
      <w:r>
        <w:t xml:space="preserve"> </w:t>
      </w:r>
      <w:r>
        <w:t xml:space="preserve">500+ TPS to support projected Q3 growth.</w:t>
      </w:r>
    </w:p>
    <w:bookmarkStart w:id="20" w:name="key-findings"/>
    <w:p>
      <w:pPr>
        <w:pStyle w:val="Heading3"/>
      </w:pPr>
      <w:r>
        <w:t xml:space="preserve">Key Findings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Finding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F-01</w:t>
            </w:r>
          </w:p>
        </w:tc>
        <w:tc>
          <w:tcPr/>
          <w:p>
            <w:pPr>
              <w:pStyle w:val="Compact"/>
            </w:pPr>
            <w:r>
              <w:t xml:space="preserve">P0 Critical</w:t>
            </w:r>
          </w:p>
        </w:tc>
        <w:tc>
          <w:tcPr/>
          <w:p>
            <w:pPr>
              <w:pStyle w:val="Compact"/>
            </w:pPr>
            <w:r>
              <w:t xml:space="preserve">HikariCP connection pool at default (10). Bottleneck under load.</w:t>
            </w:r>
          </w:p>
        </w:tc>
        <w:tc>
          <w:tcPr/>
          <w:p>
            <w:pPr>
              <w:pStyle w:val="Compact"/>
            </w:pPr>
            <w:r>
              <w:t xml:space="preserve">Limits TPS to 320. Fix: set to 30 → estimated +40-60% TPS.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F-02</w:t>
            </w:r>
          </w:p>
        </w:tc>
        <w:tc>
          <w:tcPr/>
          <w:p>
            <w:pPr>
              <w:pStyle w:val="Compact"/>
            </w:pPr>
            <w:r>
              <w:t xml:space="preserve">P0 Critical</w:t>
            </w:r>
          </w:p>
        </w:tc>
        <w:tc>
          <w:tcPr/>
          <w:p>
            <w:pPr>
              <w:pStyle w:val="Compact"/>
            </w:pPr>
            <w:r>
              <w:t xml:space="preserve">Missing index on</w:t>
            </w:r>
            <w:r>
              <w:t xml:space="preserve"> </w:t>
            </w:r>
            <w:r>
              <w:rPr>
                <w:rStyle w:val="VerbatimChar"/>
              </w:rPr>
              <w:t xml:space="preserve">settlements(merchant_id, status, created_at)</w:t>
            </w:r>
          </w:p>
        </w:tc>
        <w:tc>
          <w:tcPr/>
          <w:p>
            <w:pPr>
              <w:pStyle w:val="Compact"/>
            </w:pPr>
            <w:r>
              <w:t xml:space="preserve">Full table scan on settlement queries. Fix:</w:t>
            </w:r>
            <w:r>
              <w:t xml:space="preserve"> </w:t>
            </w:r>
            <w:r>
              <w:rPr>
                <w:rStyle w:val="VerbatimChar"/>
              </w:rPr>
              <w:t xml:space="preserve">CREATE INDEX</w:t>
            </w:r>
            <w:r>
              <w:t xml:space="preserve"> </w:t>
            </w:r>
            <w:r>
              <w:t xml:space="preserve">→ ~200ms → ~15ms.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F-03</w:t>
            </w:r>
          </w:p>
        </w:tc>
        <w:tc>
          <w:tcPr/>
          <w:p>
            <w:pPr>
              <w:pStyle w:val="Compact"/>
            </w:pPr>
            <w:r>
              <w:t xml:space="preserve">P1 High</w:t>
            </w:r>
          </w:p>
        </w:tc>
        <w:tc>
          <w:tcPr/>
          <w:p>
            <w:pPr>
              <w:pStyle w:val="Compact"/>
            </w:pPr>
            <w:r>
              <w:t xml:space="preserve">No caching on merchant config lookups (~200 calls/sec identical)</w:t>
            </w:r>
          </w:p>
        </w:tc>
        <w:tc>
          <w:tcPr/>
          <w:p>
            <w:pPr>
              <w:pStyle w:val="Compact"/>
            </w:pPr>
            <w:r>
              <w:t xml:space="preserve">15% of DB load is redundant reads. Fix: Redis cache with 60s TTL.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F-04</w:t>
            </w:r>
          </w:p>
        </w:tc>
        <w:tc>
          <w:tcPr/>
          <w:p>
            <w:pPr>
              <w:pStyle w:val="Compact"/>
            </w:pPr>
            <w:r>
              <w:t xml:space="preserve">P1 High</w:t>
            </w:r>
          </w:p>
        </w:tc>
        <w:tc>
          <w:tcPr/>
          <w:p>
            <w:pPr>
              <w:pStyle w:val="Compact"/>
            </w:pPr>
            <w:r>
              <w:t xml:space="preserve">LCP 4.2s on checkout page (target: &lt;2.5s)</w:t>
            </w:r>
          </w:p>
        </w:tc>
        <w:tc>
          <w:tcPr/>
          <w:p>
            <w:pPr>
              <w:pStyle w:val="Compact"/>
            </w:pPr>
            <w:r>
              <w:t xml:space="preserve">Poor Lighthouse score (42/100). Fix: defer non-critical JS, optimize hero image.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F-05</w:t>
            </w:r>
          </w:p>
        </w:tc>
        <w:tc>
          <w:tcPr/>
          <w:p>
            <w:pPr>
              <w:pStyle w:val="Compact"/>
            </w:pPr>
            <w:r>
              <w:t xml:space="preserve">P2 Medium</w:t>
            </w:r>
          </w:p>
        </w:tc>
        <w:tc>
          <w:tcPr/>
          <w:p>
            <w:pPr>
              <w:pStyle w:val="Compact"/>
            </w:pPr>
            <w:r>
              <w:t xml:space="preserve">No connection pooling for Redis</w:t>
            </w:r>
          </w:p>
        </w:tc>
        <w:tc>
          <w:tcPr/>
          <w:p>
            <w:pPr>
              <w:pStyle w:val="Compact"/>
            </w:pPr>
            <w:r>
              <w:t xml:space="preserve">New TCP connection per request. Fix: use ioredis pool.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F-06</w:t>
            </w:r>
          </w:p>
        </w:tc>
        <w:tc>
          <w:tcPr/>
          <w:p>
            <w:pPr>
              <w:pStyle w:val="Compact"/>
            </w:pPr>
            <w:r>
              <w:t xml:space="preserve">P2 Medium</w:t>
            </w:r>
          </w:p>
        </w:tc>
        <w:tc>
          <w:tcPr/>
          <w:p>
            <w:pPr>
              <w:pStyle w:val="Compact"/>
            </w:pPr>
            <w:r>
              <w:t xml:space="preserve">Health endpoint queries DB (not a true health check)</w:t>
            </w:r>
          </w:p>
        </w:tc>
        <w:tc>
          <w:tcPr/>
          <w:p>
            <w:pPr>
              <w:pStyle w:val="Compact"/>
            </w:pPr>
            <w:r>
              <w:t xml:space="preserve">Uptime monitoring unreliable. Fix: return static 200 for health.</w:t>
            </w:r>
          </w:p>
        </w:tc>
      </w:tr>
    </w:tbl>
    <w:bookmarkEnd w:id="20"/>
    <w:bookmarkEnd w:id="21"/>
    <w:bookmarkStart w:id="25" w:name="load-test-results"/>
    <w:p>
      <w:pPr>
        <w:pStyle w:val="Heading1"/>
      </w:pPr>
      <w:r>
        <w:t xml:space="preserve">Load Test Results</w:t>
      </w:r>
    </w:p>
    <w:bookmarkStart w:id="22" w:name="baseline-scenario-normal-traffic"/>
    <w:p>
      <w:pPr>
        <w:pStyle w:val="Heading3"/>
      </w:pPr>
      <w:r>
        <w:t xml:space="preserve">Baseline Scenario (normal traffic)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Threshold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Virtual Users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Avg TPS</w:t>
            </w:r>
          </w:p>
        </w:tc>
        <w:tc>
          <w:tcPr/>
          <w:p>
            <w:pPr>
              <w:pStyle w:val="Compact"/>
            </w:pPr>
            <w:r>
              <w:t xml:space="preserve">180</w:t>
            </w:r>
          </w:p>
        </w:tc>
        <w:tc>
          <w:tcPr/>
          <w:p>
            <w:pPr>
              <w:pStyle w:val="Compact"/>
            </w:pPr>
            <w:r>
              <w:t xml:space="preserve">≥150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p50 latency</w:t>
            </w:r>
          </w:p>
        </w:tc>
        <w:tc>
          <w:tcPr/>
          <w:p>
            <w:pPr>
              <w:pStyle w:val="Compact"/>
            </w:pPr>
            <w:r>
              <w:t xml:space="preserve">95ms</w:t>
            </w:r>
          </w:p>
        </w:tc>
        <w:tc>
          <w:tcPr/>
          <w:p>
            <w:pPr>
              <w:pStyle w:val="Compact"/>
            </w:pPr>
            <w:r>
              <w:t xml:space="preserve">&lt;200ms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p95 latency</w:t>
            </w:r>
          </w:p>
        </w:tc>
        <w:tc>
          <w:tcPr/>
          <w:p>
            <w:pPr>
              <w:pStyle w:val="Compact"/>
            </w:pPr>
            <w:r>
              <w:t xml:space="preserve">245ms</w:t>
            </w:r>
          </w:p>
        </w:tc>
        <w:tc>
          <w:tcPr/>
          <w:p>
            <w:pPr>
              <w:pStyle w:val="Compact"/>
            </w:pPr>
            <w:r>
              <w:t xml:space="preserve">&lt;500ms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p99 latency</w:t>
            </w:r>
          </w:p>
        </w:tc>
        <w:tc>
          <w:tcPr/>
          <w:p>
            <w:pPr>
              <w:pStyle w:val="Compact"/>
            </w:pPr>
            <w:r>
              <w:t xml:space="preserve">520ms</w:t>
            </w:r>
          </w:p>
        </w:tc>
        <w:tc>
          <w:tcPr/>
          <w:p>
            <w:pPr>
              <w:pStyle w:val="Compact"/>
            </w:pPr>
            <w:r>
              <w:t xml:space="preserve">&lt;1000ms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rate</w:t>
            </w:r>
          </w:p>
        </w:tc>
        <w:tc>
          <w:tcPr/>
          <w:p>
            <w:pPr>
              <w:pStyle w:val="Compact"/>
            </w:pPr>
            <w:r>
              <w:t xml:space="preserve">0.02%</w:t>
            </w:r>
          </w:p>
        </w:tc>
        <w:tc>
          <w:tcPr/>
          <w:p>
            <w:pPr>
              <w:pStyle w:val="Compact"/>
            </w:pPr>
            <w:r>
              <w:t xml:space="preserve">&lt;1%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</w:tbl>
    <w:bookmarkEnd w:id="22"/>
    <w:bookmarkStart w:id="23" w:name="stress-scenario-2x-traffic"/>
    <w:p>
      <w:pPr>
        <w:pStyle w:val="Heading3"/>
      </w:pPr>
      <w:r>
        <w:t xml:space="preserve">Stress Scenario (2x traffic)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Threshold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Virtual Users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TPS</w:t>
            </w:r>
          </w:p>
        </w:tc>
        <w:tc>
          <w:tcPr/>
          <w:p>
            <w:pPr>
              <w:pStyle w:val="Compact"/>
            </w:pPr>
            <w:r>
              <w:t xml:space="preserve">320</w:t>
            </w:r>
          </w:p>
        </w:tc>
        <w:tc>
          <w:tcPr/>
          <w:p>
            <w:pPr>
              <w:pStyle w:val="Compact"/>
            </w:pPr>
            <w:r>
              <w:t xml:space="preserve">≥300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p50 latency</w:t>
            </w:r>
          </w:p>
        </w:tc>
        <w:tc>
          <w:tcPr/>
          <w:p>
            <w:pPr>
              <w:pStyle w:val="Compact"/>
            </w:pPr>
            <w:r>
              <w:t xml:space="preserve">180ms</w:t>
            </w:r>
          </w:p>
        </w:tc>
        <w:tc>
          <w:tcPr/>
          <w:p>
            <w:pPr>
              <w:pStyle w:val="Compact"/>
            </w:pPr>
            <w:r>
              <w:t xml:space="preserve">&lt;300ms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p95 latency</w:t>
            </w:r>
          </w:p>
        </w:tc>
        <w:tc>
          <w:tcPr/>
          <w:p>
            <w:pPr>
              <w:pStyle w:val="Compact"/>
            </w:pPr>
            <w:r>
              <w:t xml:space="preserve">890ms</w:t>
            </w:r>
          </w:p>
        </w:tc>
        <w:tc>
          <w:tcPr/>
          <w:p>
            <w:pPr>
              <w:pStyle w:val="Compact"/>
            </w:pPr>
            <w:r>
              <w:t xml:space="preserve">&lt;1000ms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p99 latency</w:t>
            </w:r>
          </w:p>
        </w:tc>
        <w:tc>
          <w:tcPr/>
          <w:p>
            <w:pPr>
              <w:pStyle w:val="Compact"/>
            </w:pPr>
            <w:r>
              <w:t xml:space="preserve">2,100ms</w:t>
            </w:r>
          </w:p>
        </w:tc>
        <w:tc>
          <w:tcPr/>
          <w:p>
            <w:pPr>
              <w:pStyle w:val="Compact"/>
            </w:pPr>
            <w:r>
              <w:t xml:space="preserve">&lt;2000ms</w:t>
            </w:r>
          </w:p>
        </w:tc>
        <w:tc>
          <w:tcPr/>
          <w:p>
            <w:pPr>
              <w:pStyle w:val="Compact"/>
            </w:pPr>
            <w:r>
              <w:t xml:space="preserve">❌ 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rate</w:t>
            </w:r>
          </w:p>
        </w:tc>
        <w:tc>
          <w:tcPr/>
          <w:p>
            <w:pPr>
              <w:pStyle w:val="Compact"/>
            </w:pPr>
            <w:r>
              <w:t xml:space="preserve">0.8%</w:t>
            </w:r>
          </w:p>
        </w:tc>
        <w:tc>
          <w:tcPr/>
          <w:p>
            <w:pPr>
              <w:pStyle w:val="Compact"/>
            </w:pPr>
            <w:r>
              <w:t xml:space="preserve">&lt;2%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</w:tbl>
    <w:bookmarkEnd w:id="23"/>
    <w:bookmarkStart w:id="24" w:name="spike-scenario-5x-traffic-burst"/>
    <w:p>
      <w:pPr>
        <w:pStyle w:val="Heading3"/>
      </w:pPr>
      <w:r>
        <w:t xml:space="preserve">Spike Scenario (5x traffic burst)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Threshold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Virtual Users</w:t>
            </w:r>
          </w:p>
        </w:tc>
        <w:tc>
          <w:tcPr/>
          <w:p>
            <w:pPr>
              <w:pStyle w:val="Compact"/>
            </w:pPr>
            <w:r>
              <w:t xml:space="preserve">250 (ramp 30s)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TPS</w:t>
            </w:r>
          </w:p>
        </w:tc>
        <w:tc>
          <w:tcPr/>
          <w:p>
            <w:pPr>
              <w:pStyle w:val="Compact"/>
            </w:pPr>
            <w:r>
              <w:t xml:space="preserve">380 (then degradation)</w:t>
            </w:r>
          </w:p>
        </w:tc>
        <w:tc>
          <w:tcPr/>
          <w:p>
            <w:pPr>
              <w:pStyle w:val="Compact"/>
            </w:pPr>
            <w:r>
              <w:t xml:space="preserve">≥400</w:t>
            </w:r>
          </w:p>
        </w:tc>
        <w:tc>
          <w:tcPr/>
          <w:p>
            <w:pPr>
              <w:pStyle w:val="Compact"/>
            </w:pPr>
            <w:r>
              <w:t xml:space="preserve">❌ 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p95 latency</w:t>
            </w:r>
          </w:p>
        </w:tc>
        <w:tc>
          <w:tcPr/>
          <w:p>
            <w:pPr>
              <w:pStyle w:val="Compact"/>
            </w:pPr>
            <w:r>
              <w:t xml:space="preserve">3,200ms</w:t>
            </w:r>
          </w:p>
        </w:tc>
        <w:tc>
          <w:tcPr/>
          <w:p>
            <w:pPr>
              <w:pStyle w:val="Compact"/>
            </w:pPr>
            <w:r>
              <w:t xml:space="preserve">&lt;2000ms</w:t>
            </w:r>
          </w:p>
        </w:tc>
        <w:tc>
          <w:tcPr/>
          <w:p>
            <w:pPr>
              <w:pStyle w:val="Compact"/>
            </w:pPr>
            <w:r>
              <w:t xml:space="preserve">❌ 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rate</w:t>
            </w:r>
          </w:p>
        </w:tc>
        <w:tc>
          <w:tcPr/>
          <w:p>
            <w:pPr>
              <w:pStyle w:val="Compact"/>
            </w:pPr>
            <w:r>
              <w:t xml:space="preserve">5.2%</w:t>
            </w:r>
          </w:p>
        </w:tc>
        <w:tc>
          <w:tcPr/>
          <w:p>
            <w:pPr>
              <w:pStyle w:val="Compact"/>
            </w:pPr>
            <w:r>
              <w:t xml:space="preserve">&lt;5%</w:t>
            </w:r>
          </w:p>
        </w:tc>
        <w:tc>
          <w:tcPr/>
          <w:p>
            <w:pPr>
              <w:pStyle w:val="Compact"/>
            </w:pPr>
            <w:r>
              <w:t xml:space="preserve">❌ 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Recovery time</w:t>
            </w:r>
          </w:p>
        </w:tc>
        <w:tc>
          <w:tcPr/>
          <w:p>
            <w:pPr>
              <w:pStyle w:val="Compact"/>
            </w:pPr>
            <w:r>
              <w:t xml:space="preserve">45 seconds</w:t>
            </w:r>
          </w:p>
        </w:tc>
        <w:tc>
          <w:tcPr/>
          <w:p>
            <w:pPr>
              <w:pStyle w:val="Compact"/>
            </w:pPr>
            <w:r>
              <w:t xml:space="preserve">&lt;30s</w:t>
            </w:r>
          </w:p>
        </w:tc>
        <w:tc>
          <w:tcPr/>
          <w:p>
            <w:pPr>
              <w:pStyle w:val="Compact"/>
            </w:pPr>
            <w:r>
              <w:t xml:space="preserve">❌ Fail</w:t>
            </w:r>
          </w:p>
        </w:tc>
      </w:tr>
    </w:tbl>
    <w:p>
      <w:pPr>
        <w:pStyle w:val="BlockText"/>
      </w:pPr>
      <w:r>
        <w:rPr>
          <w:b/>
          <w:bCs/>
        </w:rPr>
        <w:t xml:space="preserve">Breakpoint identified at 380 TPS.</w:t>
      </w:r>
      <w:r>
        <w:t xml:space="preserve"> </w:t>
      </w:r>
      <w:r>
        <w:t xml:space="preserve">Beyond this point, HikariCP pool exhaustion causes cascading latency. The system does not degrade gracefully — it cliff-dives.</w:t>
      </w:r>
    </w:p>
    <w:bookmarkEnd w:id="24"/>
    <w:bookmarkEnd w:id="25"/>
    <w:bookmarkStart w:id="26" w:name="web-performance"/>
    <w:p>
      <w:pPr>
        <w:pStyle w:val="Heading1"/>
      </w:pPr>
      <w:r>
        <w:t xml:space="preserve">Web Performance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LCP</w:t>
            </w:r>
          </w:p>
        </w:tc>
        <w:tc>
          <w:tcPr/>
          <w:p>
            <w:pPr>
              <w:pStyle w:val="Compact"/>
            </w:pPr>
            <w:r>
              <w:t xml:space="preserve">FID</w:t>
            </w:r>
          </w:p>
        </w:tc>
        <w:tc>
          <w:tcPr/>
          <w:p>
            <w:pPr>
              <w:pStyle w:val="Compact"/>
            </w:pPr>
            <w:r>
              <w:t xml:space="preserve">CLS</w:t>
            </w:r>
          </w:p>
        </w:tc>
        <w:tc>
          <w:tcPr/>
          <w:p>
            <w:pPr>
              <w:pStyle w:val="Compact"/>
            </w:pPr>
            <w:r>
              <w:t xml:space="preserve">Lighthouse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Homepage</w:t>
            </w:r>
          </w:p>
        </w:tc>
        <w:tc>
          <w:tcPr/>
          <w:p>
            <w:pPr>
              <w:pStyle w:val="Compact"/>
            </w:pPr>
            <w:r>
              <w:t xml:space="preserve">2.1s</w:t>
            </w:r>
          </w:p>
        </w:tc>
        <w:tc>
          <w:tcPr/>
          <w:p>
            <w:pPr>
              <w:pStyle w:val="Compact"/>
            </w:pPr>
            <w:r>
              <w:t xml:space="preserve">85ms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68/100</w:t>
            </w:r>
          </w:p>
        </w:tc>
        <w:tc>
          <w:tcPr/>
          <w:p>
            <w:pPr>
              <w:pStyle w:val="Compact"/>
            </w:pPr>
            <w:r>
              <w:t xml:space="preserve">⚠️ Needs 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Checkout</w:t>
            </w:r>
          </w:p>
        </w:tc>
        <w:tc>
          <w:tcPr/>
          <w:p>
            <w:pPr>
              <w:pStyle w:val="Compact"/>
            </w:pPr>
            <w:r>
              <w:t xml:space="preserve">4.2s</w:t>
            </w:r>
          </w:p>
        </w:tc>
        <w:tc>
          <w:tcPr/>
          <w:p>
            <w:pPr>
              <w:pStyle w:val="Compact"/>
            </w:pPr>
            <w:r>
              <w:t xml:space="preserve">120ms</w:t>
            </w:r>
          </w:p>
        </w:tc>
        <w:tc>
          <w:tcPr/>
          <w:p>
            <w:pPr>
              <w:pStyle w:val="Compact"/>
            </w:pPr>
            <w:r>
              <w:t xml:space="preserve">0.12</w:t>
            </w:r>
          </w:p>
        </w:tc>
        <w:tc>
          <w:tcPr/>
          <w:p>
            <w:pPr>
              <w:pStyle w:val="Compact"/>
            </w:pPr>
            <w:r>
              <w:t xml:space="preserve">42/100</w:t>
            </w:r>
          </w:p>
        </w:tc>
        <w:tc>
          <w:tcPr/>
          <w:p>
            <w:pPr>
              <w:pStyle w:val="Compact"/>
            </w:pPr>
            <w:r>
              <w:t xml:space="preserve">❌ Poor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3.1s</w:t>
            </w:r>
          </w:p>
        </w:tc>
        <w:tc>
          <w:tcPr/>
          <w:p>
            <w:pPr>
              <w:pStyle w:val="Compact"/>
            </w:pPr>
            <w:r>
              <w:t xml:space="preserve">95ms</w:t>
            </w:r>
          </w:p>
        </w:tc>
        <w:tc>
          <w:tcPr/>
          <w:p>
            <w:pPr>
              <w:pStyle w:val="Compact"/>
            </w:pPr>
            <w:r>
              <w:t xml:space="preserve">0.08</w:t>
            </w:r>
          </w:p>
        </w:tc>
        <w:tc>
          <w:tcPr/>
          <w:p>
            <w:pPr>
              <w:pStyle w:val="Compact"/>
            </w:pPr>
            <w:r>
              <w:t xml:space="preserve">55/100</w:t>
            </w:r>
          </w:p>
        </w:tc>
        <w:tc>
          <w:tcPr/>
          <w:p>
            <w:pPr>
              <w:pStyle w:val="Compact"/>
            </w:pPr>
            <w:r>
              <w:t xml:space="preserve">⚠️ Needs 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Docs</w:t>
            </w:r>
          </w:p>
        </w:tc>
        <w:tc>
          <w:tcPr/>
          <w:p>
            <w:pPr>
              <w:pStyle w:val="Compact"/>
            </w:pPr>
            <w:r>
              <w:t xml:space="preserve">1.4s</w:t>
            </w:r>
          </w:p>
        </w:tc>
        <w:tc>
          <w:tcPr/>
          <w:p>
            <w:pPr>
              <w:pStyle w:val="Compact"/>
            </w:pPr>
            <w:r>
              <w:t xml:space="preserve">45ms</w:t>
            </w:r>
          </w:p>
        </w:tc>
        <w:tc>
          <w:tcPr/>
          <w:p>
            <w:pPr>
              <w:pStyle w:val="Compact"/>
            </w:pPr>
            <w:r>
              <w:t xml:space="preserve">0.02</w:t>
            </w:r>
          </w:p>
        </w:tc>
        <w:tc>
          <w:tcPr/>
          <w:p>
            <w:pPr>
              <w:pStyle w:val="Compact"/>
            </w:pPr>
            <w:r>
              <w:t xml:space="preserve">89/100</w:t>
            </w:r>
          </w:p>
        </w:tc>
        <w:tc>
          <w:tcPr/>
          <w:p>
            <w:pPr>
              <w:pStyle w:val="Compact"/>
            </w:pPr>
            <w:r>
              <w:t xml:space="preserve">✅ Good</w:t>
            </w:r>
          </w:p>
        </w:tc>
      </w:tr>
    </w:tbl>
    <w:bookmarkEnd w:id="26"/>
    <w:bookmarkStart w:id="30" w:name="remediation-roadmap"/>
    <w:p>
      <w:pPr>
        <w:pStyle w:val="Heading1"/>
      </w:pPr>
      <w:r>
        <w:t xml:space="preserve">Remediation Roadmap</w:t>
      </w:r>
    </w:p>
    <w:bookmarkStart w:id="27" w:name="p0-fix-this-week-estimated-impact-60-tps"/>
    <w:p>
      <w:pPr>
        <w:pStyle w:val="Heading3"/>
      </w:pPr>
      <w:r>
        <w:t xml:space="preserve">P0 — Fix this week (estimated impact: +60% TPS)</w:t>
      </w:r>
    </w:p>
    <w:p>
      <w:pPr>
        <w:pStyle w:val="FirstParagraph"/>
      </w:pPr>
      <w:r>
        <w:rPr>
          <w:b/>
          <w:bCs/>
        </w:rPr>
        <w:t xml:space="preserve">F-01: Increase HikariCP pool size</w:t>
      </w:r>
    </w:p>
    <w:p>
      <w:pPr>
        <w:pStyle w:val="SourceCode"/>
      </w:pPr>
      <w:r>
        <w:rPr>
          <w:rStyle w:val="FunctionTok"/>
        </w:rPr>
        <w:t xml:space="preserve">spring.datasource.hikari.maximum-pool-size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FunctionTok"/>
        </w:rPr>
        <w:t xml:space="preserve">spring.datasource.hikari.minimum-idle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FunctionTok"/>
        </w:rPr>
        <w:t xml:space="preserve">spring.datasource.hikari.connection-timeout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5000</w:t>
      </w:r>
    </w:p>
    <w:p>
      <w:pPr>
        <w:pStyle w:val="FirstParagraph"/>
      </w:pPr>
      <w:r>
        <w:t xml:space="preserve">Estimated improvement: 320 → 480+ TPS. 30 minutes to implement.</w:t>
      </w:r>
    </w:p>
    <w:p>
      <w:pPr>
        <w:pStyle w:val="BodyText"/>
      </w:pPr>
      <w:r>
        <w:rPr>
          <w:b/>
          <w:bCs/>
        </w:rPr>
        <w:t xml:space="preserve">F-02: Add missing index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CONCURRENTLY idx_settlements_merchant_status_date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settlements(merchant_id, status, 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Estimated improvement: settlement queries from ~200ms to ~15ms. 5 minutes.</w:t>
      </w:r>
    </w:p>
    <w:bookmarkEnd w:id="27"/>
    <w:bookmarkStart w:id="28" w:name="p1-fix-this-sprint"/>
    <w:p>
      <w:pPr>
        <w:pStyle w:val="Heading3"/>
      </w:pPr>
      <w:r>
        <w:t xml:space="preserve">P1 — Fix this sprint</w:t>
      </w:r>
    </w:p>
    <w:p>
      <w:pPr>
        <w:pStyle w:val="FirstParagraph"/>
      </w:pPr>
      <w:r>
        <w:rPr>
          <w:b/>
          <w:bCs/>
        </w:rPr>
        <w:t xml:space="preserve">F-03:</w:t>
      </w:r>
      <w:r>
        <w:t xml:space="preserve"> </w:t>
      </w:r>
      <w:r>
        <w:t xml:space="preserve">Implement Redis cache for merchant config. TTL 60s. Expected: -15% DB load.</w:t>
      </w:r>
    </w:p>
    <w:p>
      <w:pPr>
        <w:pStyle w:val="BodyText"/>
      </w:pPr>
      <w:r>
        <w:rPr>
          <w:b/>
          <w:bCs/>
        </w:rPr>
        <w:t xml:space="preserve">F-04:</w:t>
      </w:r>
      <w:r>
        <w:t xml:space="preserve"> </w:t>
      </w:r>
      <w:r>
        <w:t xml:space="preserve">Checkout page LCP optimization. Defer non-critical JS, lazy-load below-fold images, preconnect to payment CDN. Target: LCP &lt;2.5s.</w:t>
      </w:r>
    </w:p>
    <w:bookmarkEnd w:id="28"/>
    <w:bookmarkStart w:id="29" w:name="p2-fix-this-quarter"/>
    <w:p>
      <w:pPr>
        <w:pStyle w:val="Heading3"/>
      </w:pPr>
      <w:r>
        <w:t xml:space="preserve">P2 — Fix this quarter</w:t>
      </w:r>
    </w:p>
    <w:p>
      <w:pPr>
        <w:pStyle w:val="FirstParagraph"/>
      </w:pPr>
      <w:r>
        <w:rPr>
          <w:b/>
          <w:bCs/>
        </w:rPr>
        <w:t xml:space="preserve">F-05:</w:t>
      </w:r>
      <w:r>
        <w:t xml:space="preserve"> </w:t>
      </w:r>
      <w:r>
        <w:t xml:space="preserve">Redis connection pooling with ioredis.</w:t>
      </w:r>
      <w:r>
        <w:t xml:space="preserve"> </w:t>
      </w:r>
      <w:r>
        <w:rPr>
          <w:b/>
          <w:bCs/>
        </w:rPr>
        <w:t xml:space="preserve">F-06:</w:t>
      </w:r>
      <w:r>
        <w:t xml:space="preserve"> </w:t>
      </w:r>
      <w:r>
        <w:t xml:space="preserve">Fix health endpoint.</w:t>
      </w:r>
    </w:p>
    <w:p>
      <w:pPr>
        <w:pStyle w:val="BodyText"/>
      </w:pPr>
      <w:r>
        <w:br/>
      </w:r>
    </w:p>
    <w:p>
      <w:pPr>
        <w:pStyle w:val="BlockText"/>
      </w:pPr>
      <w:r>
        <w:rPr>
          <w:b/>
          <w:bCs/>
        </w:rPr>
        <w:t xml:space="preserve">Next steps:</w:t>
      </w:r>
      <w:r>
        <w:t xml:space="preserve"> </w:t>
      </w:r>
      <w:r>
        <w:t xml:space="preserve">Implement P0 fixes → VANTX re-tests for free (included) → Validate improvement with data. Estimated result: 320 → 510+ TPS.</w:t>
      </w:r>
    </w:p>
    <w:p>
      <w:pPr>
        <w:pStyle w:val="BlockText"/>
      </w:pPr>
      <w:r>
        <w:t xml:space="preserve">Interested in continuous monitoring? Our Performance subscription ($5,995/mo) includes 24/7 synthetic monitoring, monthly load tests, and weekly reports — so you catch the next bottleneck before your users do.</w:t>
      </w:r>
    </w:p>
    <w:p>
      <w:pPr>
        <w:pStyle w:val="BlockText"/>
      </w:pPr>
      <w:r>
        <w:t xml:space="preserve">hello@vantx.io · vantx.io</w:t>
      </w:r>
    </w:p>
    <w:bookmarkEnd w:id="29"/>
    <w:bookmarkEnd w:id="30"/>
    <w:sectPr>
      <w:headerReference r:id="rId6" w:type="default"/>
      <w:footerReference r:id="rId7" w:type="default"/>
      <w:pgSz w:h="15840" w:orient="portrait" w:w="12240"/>
      <w:pgMar w:bottom="1440" w:footer="708" w:gutter="0" w:header="708" w:left="1200" w:right="1200" w:top="144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6"/>
        <w:szCs w:val="16"/>
      </w:rPr>
      <w:t xml:space="preserve">Confidential |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999999"/>
        <w:sz w:val="16"/>
        <w:szCs w:val="16"/>
      </w:rPr>
      <w:t xml:space="preserve">VANTX</w:t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44444"/>
        <w:sz w:val="22"/>
        <w:szCs w:val="22"/>
      </w:rPr>
    </w:rPrDefault>
    <w:pPrDefault>
      <w:pPr>
        <w:spacing w:after="120" w:line="276"/>
      </w:pPr>
    </w:pPrDefault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pPr>
      <w:spacing w:after="200" w:before="400"/>
    </w:pPr>
    <w:rPr>
      <w:rFonts w:ascii="Calibri" w:cs="Calibri" w:eastAsia="Calibri" w:hAnsi="Calibri"/>
      <w:b/>
      <w:bCs/>
      <w:color w:val="0F1B33"/>
      <w:sz w:val="32"/>
      <w:szCs w:val="32"/>
    </w:rPr>
  </w:style>
  <w:style w:styleId="Heading2" w:type="paragraph">
    <w:name w:val="Heading 2"/>
    <w:basedOn w:val="Normal"/>
    <w:next w:val="Normal"/>
    <w:qFormat/>
    <w:pPr>
      <w:spacing w:after="150" w:before="300"/>
    </w:pPr>
    <w:rPr>
      <w:rFonts w:ascii="Calibri" w:cs="Calibri" w:eastAsia="Calibri" w:hAnsi="Calibri"/>
      <w:b/>
      <w:bCs/>
      <w:color w:val="2E75B6"/>
      <w:sz w:val="26"/>
      <w:szCs w:val="26"/>
    </w:rPr>
  </w:style>
  <w:style w:styleId="Heading3" w:type="paragraph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0F1B33"/>
      <w:sz w:val="22"/>
      <w:szCs w:val="22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5" Target="numbering.xml" /><Relationship Type="http://schemas.openxmlformats.org/officeDocument/2006/relationships/styles" Id="rId14" Target="styles.xml" /><Relationship Type="http://schemas.openxmlformats.org/officeDocument/2006/relationships/settings" Id="rId13" Target="settings.xml" /><Relationship Type="http://schemas.openxmlformats.org/officeDocument/2006/relationships/webSettings" Id="rId12" Target="webSettings.xml" /><Relationship Type="http://schemas.openxmlformats.org/officeDocument/2006/relationships/fontTable" Id="rId11" Target="fontTable.xml" /><Relationship Type="http://schemas.openxmlformats.org/officeDocument/2006/relationships/theme" Id="rId10" Target="theme/theme1.xml" /><Relationship Type="http://schemas.openxmlformats.org/officeDocument/2006/relationships/footnotes" Id="rId9" Target="footnotes.xml" /><Relationship Type="http://schemas.openxmlformats.org/officeDocument/2006/relationships/comments" Id="rId8" Target="comments.xml" /><Relationship Id="rId6" Target="header1.xml" Type="http://schemas.openxmlformats.org/officeDocument/2006/relationships/header" /><Relationship Id="rId7" Target="footer1.xml" Type="http://schemas.openxmlformats.org/officeDocument/2006/relationships/footer" /><Relationship Type="http://schemas.openxmlformats.org/officeDocument/2006/relationships/image" Id="rId16" Target="media/rId16.png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Performance Checkup Report</dc:title>
  <dc:creator/>
  <cp:keywords/>
  <dcterms:created xsi:type="dcterms:W3CDTF">2026-03-22T20:44:59Z</dcterms:created>
  <dcterms:modified xsi:type="dcterms:W3CDTF">2026-03-22T20:44:59Z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March 2026</vt:lpwstr>
  </property>
  <property fmtid="{D5CDD505-2E9C-101B-9397-08002B2CF9AE}" pid="3" name="subtitle">
    <vt:lpwstr>NovaPay SpA — Demo</vt:lpwstr>
  </property>
  <property fmtid="{D5CDD505-2E9C-101B-9397-08002B2CF9AE}" pid="4" name="version">
    <vt:lpwstr>1.0</vt:lpwstr>
  </property>
</Properties>
</file>