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de Performance Checkup</w:t>
      </w:r>
    </w:p>
    <w:p>
      <w:pPr>
        <w:pStyle w:val="Subtitle"/>
      </w:pPr>
      <w:r>
        <w:t xml:space="preserve">NovaPay SpA — Demo</w:t>
      </w:r>
    </w:p>
    <w:p>
      <w:pPr>
        <w:pStyle w:val="Date"/>
      </w:pPr>
      <w:r>
        <w:t xml:space="preserve">Marzo 2026</w:t>
      </w:r>
    </w:p>
    <w:p>
      <w:pPr>
        <w:pStyle w:val="FirstParagraph"/>
      </w:pPr>
      <w:r>
        <w:drawing>
          <wp:inline>
            <wp:extent cx="1874520" cy="42645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log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42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19" w:name="performance-checkup"/>
    <w:p>
      <w:pPr>
        <w:pStyle w:val="Heading1"/>
      </w:pPr>
      <w:r>
        <w:t xml:space="preserve">PERFORMANCE CHECKUP</w:t>
      </w:r>
    </w:p>
    <w:p>
      <w:pPr>
        <w:pStyle w:val="FirstParagraph"/>
      </w:pPr>
      <w:r>
        <w:rPr>
          <w:b/>
          <w:bCs/>
        </w:rPr>
        <w:t xml:space="preserve">NovaPay SpA — Plataforma de Procesamiento de Pagos</w:t>
      </w:r>
    </w:p>
    <w:p>
      <w:pPr>
        <w:pStyle w:val="BodyText"/>
      </w:pPr>
      <w:r>
        <w:t xml:space="preserve">Marzo 2026 · VANTX · hello@vantx.io</w:t>
      </w:r>
    </w:p>
    <w:bookmarkEnd w:id="19"/>
    <w:bookmarkStart w:id="21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La plataforma de procesamiento de pagos de NovaPay fue evaluada durante 5 días hábiles. La evaluación incluyó revisión de arquitectura, prueba de carga (baseline + stress + spike), auditoría de web performance (Core Web Vitals + Lighthouse), y evaluación de monitoreo.</w:t>
      </w:r>
    </w:p>
    <w:p>
      <w:pPr>
        <w:pStyle w:val="BodyText"/>
      </w:pPr>
      <w:r>
        <w:rPr>
          <w:b/>
          <w:bCs/>
        </w:rPr>
        <w:t xml:space="preserve">Capacidad actual:</w:t>
      </w:r>
      <w:r>
        <w:t xml:space="preserve"> </w:t>
      </w:r>
      <w:r>
        <w:t xml:space="preserve">320 TPS (transacciones por segundo) antes de degradación.</w:t>
      </w:r>
      <w:r>
        <w:t xml:space="preserve"> </w:t>
      </w:r>
      <w:r>
        <w:rPr>
          <w:b/>
          <w:bCs/>
        </w:rPr>
        <w:t xml:space="preserve">Punto de quiebre:</w:t>
      </w:r>
      <w:r>
        <w:t xml:space="preserve"> </w:t>
      </w:r>
      <w:r>
        <w:t xml:space="preserve">380 TPS — latencia excede 2 segundos, tasa de error &gt;5%.</w:t>
      </w:r>
      <w:r>
        <w:t xml:space="preserve"> </w:t>
      </w:r>
      <w:r>
        <w:rPr>
          <w:b/>
          <w:bCs/>
        </w:rPr>
        <w:t xml:space="preserve">Capacidad objetivo:</w:t>
      </w:r>
      <w:r>
        <w:t xml:space="preserve"> </w:t>
      </w:r>
      <w:r>
        <w:t xml:space="preserve">500+ TPS para soportar el crecimiento proyectado de Q3.</w:t>
      </w:r>
    </w:p>
    <w:bookmarkStart w:id="20" w:name="hallazgos-principales"/>
    <w:p>
      <w:pPr>
        <w:pStyle w:val="Heading3"/>
      </w:pPr>
      <w:r>
        <w:t xml:space="preserve">Hallazgos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P0 Crítico</w:t>
            </w:r>
          </w:p>
        </w:tc>
        <w:tc>
          <w:tcPr/>
          <w:p>
            <w:pPr>
              <w:pStyle w:val="Compact"/>
            </w:pPr>
            <w:r>
              <w:t xml:space="preserve">Pool de conexiones HikariCP en default (10). Cuello de botella bajo carga.</w:t>
            </w:r>
          </w:p>
        </w:tc>
        <w:tc>
          <w:tcPr/>
          <w:p>
            <w:pPr>
              <w:pStyle w:val="Compact"/>
            </w:pPr>
            <w:r>
              <w:t xml:space="preserve">Limita TPS a 320. Fix: subir a 30 → estimado +40-60% TPS.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P0 Crítico</w:t>
            </w:r>
          </w:p>
        </w:tc>
        <w:tc>
          <w:tcPr/>
          <w:p>
            <w:pPr>
              <w:pStyle w:val="Compact"/>
            </w:pPr>
            <w:r>
              <w:t xml:space="preserve">Índice faltante en</w:t>
            </w:r>
            <w:r>
              <w:t xml:space="preserve"> </w:t>
            </w:r>
            <w:r>
              <w:rPr>
                <w:rStyle w:val="VerbatimChar"/>
              </w:rPr>
              <w:t xml:space="preserve">settlements(merchant_id, status, created_at)</w:t>
            </w:r>
          </w:p>
        </w:tc>
        <w:tc>
          <w:tcPr/>
          <w:p>
            <w:pPr>
              <w:pStyle w:val="Compact"/>
            </w:pPr>
            <w:r>
              <w:t xml:space="preserve">Full table scan en consultas de liquidación. Fix:</w:t>
            </w:r>
            <w:r>
              <w:t xml:space="preserve"> </w:t>
            </w:r>
            <w:r>
              <w:rPr>
                <w:rStyle w:val="VerbatimChar"/>
              </w:rPr>
              <w:t xml:space="preserve">CREATE INDEX</w:t>
            </w:r>
            <w:r>
              <w:t xml:space="preserve"> </w:t>
            </w:r>
            <w:r>
              <w:t xml:space="preserve">→ ~200ms → ~15ms.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P1 Alto</w:t>
            </w:r>
          </w:p>
        </w:tc>
        <w:tc>
          <w:tcPr/>
          <w:p>
            <w:pPr>
              <w:pStyle w:val="Compact"/>
            </w:pPr>
            <w:r>
              <w:t xml:space="preserve">Sin caché en lookups de config de merchant (~200 calls/sec idénticos)</w:t>
            </w:r>
          </w:p>
        </w:tc>
        <w:tc>
          <w:tcPr/>
          <w:p>
            <w:pPr>
              <w:pStyle w:val="Compact"/>
            </w:pPr>
            <w:r>
              <w:t xml:space="preserve">15% de carga de BD es lecturas redundantes. Fix: Redis cache con TTL 60s.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P1 Alto</w:t>
            </w:r>
          </w:p>
        </w:tc>
        <w:tc>
          <w:tcPr/>
          <w:p>
            <w:pPr>
              <w:pStyle w:val="Compact"/>
            </w:pPr>
            <w:r>
              <w:t xml:space="preserve">LCP 4.2s en página de checkout (objetivo: &lt;2.5s)</w:t>
            </w:r>
          </w:p>
        </w:tc>
        <w:tc>
          <w:tcPr/>
          <w:p>
            <w:pPr>
              <w:pStyle w:val="Compact"/>
            </w:pPr>
            <w:r>
              <w:t xml:space="preserve">Score Lighthouse pobre (42/100). Fix: diferir JS no crítico, optimizar imagen hero.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P2 Medio</w:t>
            </w:r>
          </w:p>
        </w:tc>
        <w:tc>
          <w:tcPr/>
          <w:p>
            <w:pPr>
              <w:pStyle w:val="Compact"/>
            </w:pPr>
            <w:r>
              <w:t xml:space="preserve">Sin connection pooling para Redis</w:t>
            </w:r>
          </w:p>
        </w:tc>
        <w:tc>
          <w:tcPr/>
          <w:p>
            <w:pPr>
              <w:pStyle w:val="Compact"/>
            </w:pPr>
            <w:r>
              <w:t xml:space="preserve">Nueva conexión TCP por request. Fix: usar pool de ioredis.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P2 Medio</w:t>
            </w:r>
          </w:p>
        </w:tc>
        <w:tc>
          <w:tcPr/>
          <w:p>
            <w:pPr>
              <w:pStyle w:val="Compact"/>
            </w:pPr>
            <w:r>
              <w:t xml:space="preserve">Endpoint de health consulta BD (no es un health check real)</w:t>
            </w:r>
          </w:p>
        </w:tc>
        <w:tc>
          <w:tcPr/>
          <w:p>
            <w:pPr>
              <w:pStyle w:val="Compact"/>
            </w:pPr>
            <w:r>
              <w:t xml:space="preserve">Monitoreo de uptime no confiable. Fix: retornar 200 estático.</w:t>
            </w:r>
          </w:p>
        </w:tc>
      </w:tr>
    </w:tbl>
    <w:bookmarkEnd w:id="20"/>
    <w:bookmarkEnd w:id="21"/>
    <w:bookmarkStart w:id="25" w:name="resultados-de-prueba-de-carga"/>
    <w:p>
      <w:pPr>
        <w:pStyle w:val="Heading1"/>
      </w:pPr>
      <w:r>
        <w:t xml:space="preserve">Resultados de Prueba de Carga</w:t>
      </w:r>
    </w:p>
    <w:bookmarkStart w:id="22" w:name="escenario-baseline-tráfico-normal"/>
    <w:p>
      <w:pPr>
        <w:pStyle w:val="Heading3"/>
      </w:pPr>
      <w:r>
        <w:t xml:space="preserve">Escenario Baseline (tráfico normal)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virtuales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 promedio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≥150</w:t>
            </w:r>
          </w:p>
        </w:tc>
        <w:tc>
          <w:tcPr/>
          <w:p>
            <w:pPr>
              <w:pStyle w:val="Compac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Latencia p50</w:t>
            </w:r>
          </w:p>
        </w:tc>
        <w:tc>
          <w:tcPr/>
          <w:p>
            <w:pPr>
              <w:pStyle w:val="Compact"/>
            </w:pPr>
            <w:r>
              <w:t xml:space="preserve">95ms</w:t>
            </w:r>
          </w:p>
        </w:tc>
        <w:tc>
          <w:tcPr/>
          <w:p>
            <w:pPr>
              <w:pStyle w:val="Compact"/>
            </w:pPr>
            <w:r>
              <w:t xml:space="preserve">&lt;200ms</w:t>
            </w:r>
          </w:p>
        </w:tc>
        <w:tc>
          <w:tcPr/>
          <w:p>
            <w:pPr>
              <w:pStyle w:val="Compac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Latencia p95</w:t>
            </w:r>
          </w:p>
        </w:tc>
        <w:tc>
          <w:tcPr/>
          <w:p>
            <w:pPr>
              <w:pStyle w:val="Compact"/>
            </w:pPr>
            <w:r>
              <w:t xml:space="preserve">245ms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Latencia p99</w:t>
            </w:r>
          </w:p>
        </w:tc>
        <w:tc>
          <w:tcPr/>
          <w:p>
            <w:pPr>
              <w:pStyle w:val="Compact"/>
            </w:pPr>
            <w:r>
              <w:t xml:space="preserve">520ms</w:t>
            </w:r>
          </w:p>
        </w:tc>
        <w:tc>
          <w:tcPr/>
          <w:p>
            <w:pPr>
              <w:pStyle w:val="Compact"/>
            </w:pPr>
            <w:r>
              <w:t xml:space="preserve">&lt;1000ms</w:t>
            </w:r>
          </w:p>
        </w:tc>
        <w:tc>
          <w:tcPr/>
          <w:p>
            <w:pPr>
              <w:pStyle w:val="Compac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error</w:t>
            </w:r>
          </w:p>
        </w:tc>
        <w:tc>
          <w:tcPr/>
          <w:p>
            <w:pPr>
              <w:pStyle w:val="Compact"/>
            </w:pPr>
            <w:r>
              <w:t xml:space="preserve">0.02%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✅ Pasa</w:t>
            </w:r>
          </w:p>
        </w:tc>
      </w:tr>
    </w:tbl>
    <w:bookmarkEnd w:id="22"/>
    <w:bookmarkStart w:id="23" w:name="escenario-stress-2x-tráfico"/>
    <w:p>
      <w:pPr>
        <w:pStyle w:val="Heading3"/>
      </w:pPr>
      <w:r>
        <w:t xml:space="preserve">Escenario Stress (2x tráfico)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virtuales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 máximo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≥300</w:t>
            </w:r>
          </w:p>
        </w:tc>
        <w:tc>
          <w:tcPr/>
          <w:p>
            <w:pPr>
              <w:pStyle w:val="Compac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Latencia p50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&lt;300ms</w:t>
            </w:r>
          </w:p>
        </w:tc>
        <w:tc>
          <w:tcPr/>
          <w:p>
            <w:pPr>
              <w:pStyle w:val="Compac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Latencia p95</w:t>
            </w:r>
          </w:p>
        </w:tc>
        <w:tc>
          <w:tcPr/>
          <w:p>
            <w:pPr>
              <w:pStyle w:val="Compact"/>
            </w:pPr>
            <w:r>
              <w:t xml:space="preserve">890ms</w:t>
            </w:r>
          </w:p>
        </w:tc>
        <w:tc>
          <w:tcPr/>
          <w:p>
            <w:pPr>
              <w:pStyle w:val="Compact"/>
            </w:pPr>
            <w:r>
              <w:t xml:space="preserve">&lt;1000ms</w:t>
            </w:r>
          </w:p>
        </w:tc>
        <w:tc>
          <w:tcPr/>
          <w:p>
            <w:pPr>
              <w:pStyle w:val="Compac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Latencia p99</w:t>
            </w:r>
          </w:p>
        </w:tc>
        <w:tc>
          <w:tcPr/>
          <w:p>
            <w:pPr>
              <w:pStyle w:val="Compact"/>
            </w:pPr>
            <w:r>
              <w:t xml:space="preserve">2,100ms</w:t>
            </w:r>
          </w:p>
        </w:tc>
        <w:tc>
          <w:tcPr/>
          <w:p>
            <w:pPr>
              <w:pStyle w:val="Compact"/>
            </w:pPr>
            <w:r>
              <w:t xml:space="preserve">&lt;2000ms</w:t>
            </w:r>
          </w:p>
        </w:tc>
        <w:tc>
          <w:tcPr/>
          <w:p>
            <w:pPr>
              <w:pStyle w:val="Compact"/>
            </w:pPr>
            <w:r>
              <w:t xml:space="preserve">❌ Falla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error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  <w:tc>
          <w:tcPr/>
          <w:p>
            <w:pPr>
              <w:pStyle w:val="Compact"/>
            </w:pPr>
            <w:r>
              <w:t xml:space="preserve">&lt;2%</w:t>
            </w:r>
          </w:p>
        </w:tc>
        <w:tc>
          <w:tcPr/>
          <w:p>
            <w:pPr>
              <w:pStyle w:val="Compact"/>
            </w:pPr>
            <w:r>
              <w:t xml:space="preserve">✅ Pasa</w:t>
            </w:r>
          </w:p>
        </w:tc>
      </w:tr>
    </w:tbl>
    <w:bookmarkEnd w:id="23"/>
    <w:bookmarkStart w:id="24" w:name="escenario-spike-ráfaga-5x-tráfico"/>
    <w:p>
      <w:pPr>
        <w:pStyle w:val="Heading3"/>
      </w:pPr>
      <w:r>
        <w:t xml:space="preserve">Escenario Spike (ráfaga 5x tráfico)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virtuales</w:t>
            </w:r>
          </w:p>
        </w:tc>
        <w:tc>
          <w:tcPr/>
          <w:p>
            <w:pPr>
              <w:pStyle w:val="Compact"/>
            </w:pPr>
            <w:r>
              <w:t xml:space="preserve">250 (ramp 30s)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 máximo</w:t>
            </w:r>
          </w:p>
        </w:tc>
        <w:tc>
          <w:tcPr/>
          <w:p>
            <w:pPr>
              <w:pStyle w:val="Compact"/>
            </w:pPr>
            <w:r>
              <w:t xml:space="preserve">380 (luego degradación)</w:t>
            </w:r>
          </w:p>
        </w:tc>
        <w:tc>
          <w:tcPr/>
          <w:p>
            <w:pPr>
              <w:pStyle w:val="Compact"/>
            </w:pPr>
            <w:r>
              <w:t xml:space="preserve">≥400</w:t>
            </w:r>
          </w:p>
        </w:tc>
        <w:tc>
          <w:tcPr/>
          <w:p>
            <w:pPr>
              <w:pStyle w:val="Compact"/>
            </w:pPr>
            <w:r>
              <w:t xml:space="preserve">❌ Falla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Latencia p95</w:t>
            </w:r>
          </w:p>
        </w:tc>
        <w:tc>
          <w:tcPr/>
          <w:p>
            <w:pPr>
              <w:pStyle w:val="Compact"/>
            </w:pPr>
            <w:r>
              <w:t xml:space="preserve">3,200ms</w:t>
            </w:r>
          </w:p>
        </w:tc>
        <w:tc>
          <w:tcPr/>
          <w:p>
            <w:pPr>
              <w:pStyle w:val="Compact"/>
            </w:pPr>
            <w:r>
              <w:t xml:space="preserve">&lt;2000ms</w:t>
            </w:r>
          </w:p>
        </w:tc>
        <w:tc>
          <w:tcPr/>
          <w:p>
            <w:pPr>
              <w:pStyle w:val="Compact"/>
            </w:pPr>
            <w:r>
              <w:t xml:space="preserve">❌ Falla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error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❌ Falla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recuperación</w:t>
            </w:r>
          </w:p>
        </w:tc>
        <w:tc>
          <w:tcPr/>
          <w:p>
            <w:pPr>
              <w:pStyle w:val="Compact"/>
            </w:pPr>
            <w:r>
              <w:t xml:space="preserve">45 segundos</w:t>
            </w:r>
          </w:p>
        </w:tc>
        <w:tc>
          <w:tcPr/>
          <w:p>
            <w:pPr>
              <w:pStyle w:val="Compact"/>
            </w:pPr>
            <w:r>
              <w:t xml:space="preserve">&lt;30s</w:t>
            </w:r>
          </w:p>
        </w:tc>
        <w:tc>
          <w:tcPr/>
          <w:p>
            <w:pPr>
              <w:pStyle w:val="Compact"/>
            </w:pPr>
            <w:r>
              <w:t xml:space="preserve">❌ Falla</w:t>
            </w:r>
          </w:p>
        </w:tc>
      </w:tr>
    </w:tbl>
    <w:p>
      <w:pPr>
        <w:pStyle w:val="BlockText"/>
      </w:pPr>
      <w:r>
        <w:rPr>
          <w:b/>
          <w:bCs/>
        </w:rPr>
        <w:t xml:space="preserve">Punto de quiebre identificado en 380 TPS.</w:t>
      </w:r>
      <w:r>
        <w:t xml:space="preserve"> </w:t>
      </w:r>
      <w:r>
        <w:t xml:space="preserve">Más allá de este punto, el agotamiento del pool HikariCP causa latencia en cascada. El sistema no degrada gradualmente — colapsa abruptamente.</w:t>
      </w:r>
    </w:p>
    <w:bookmarkEnd w:id="24"/>
    <w:bookmarkEnd w:id="25"/>
    <w:bookmarkStart w:id="26" w:name="web-performance"/>
    <w:p>
      <w:pPr>
        <w:pStyle w:val="Heading1"/>
      </w:pPr>
      <w:r>
        <w:t xml:space="preserve">Web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Página</w:t>
            </w:r>
          </w:p>
        </w:tc>
        <w:tc>
          <w:tcPr/>
          <w:p>
            <w:pPr>
              <w:pStyle w:val="Compact"/>
            </w:pPr>
            <w:r>
              <w:t xml:space="preserve">LCP</w:t>
            </w:r>
          </w:p>
        </w:tc>
        <w:tc>
          <w:tcPr/>
          <w:p>
            <w:pPr>
              <w:pStyle w:val="Compact"/>
            </w:pPr>
            <w:r>
              <w:t xml:space="preserve">FID</w:t>
            </w:r>
          </w:p>
        </w:tc>
        <w:tc>
          <w:tcPr/>
          <w:p>
            <w:pPr>
              <w:pStyle w:val="Compact"/>
            </w:pPr>
            <w: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Lighthouse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2.1s</w:t>
            </w:r>
          </w:p>
        </w:tc>
        <w:tc>
          <w:tcPr/>
          <w:p>
            <w:pPr>
              <w:pStyle w:val="Compact"/>
            </w:pPr>
            <w:r>
              <w:t xml:space="preserve">85ms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68/100</w:t>
            </w:r>
          </w:p>
        </w:tc>
        <w:tc>
          <w:tcPr/>
          <w:p>
            <w:pPr>
              <w:pStyle w:val="Compact"/>
            </w:pPr>
            <w:r>
              <w:t xml:space="preserve">⚠️ Mejorable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4.2s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42/100</w:t>
            </w:r>
          </w:p>
        </w:tc>
        <w:tc>
          <w:tcPr/>
          <w:p>
            <w:pPr>
              <w:pStyle w:val="Compact"/>
            </w:pPr>
            <w:r>
              <w:t xml:space="preserve">❌ Pobre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3.1s</w:t>
            </w:r>
          </w:p>
        </w:tc>
        <w:tc>
          <w:tcPr/>
          <w:p>
            <w:pPr>
              <w:pStyle w:val="Compact"/>
            </w:pPr>
            <w:r>
              <w:t xml:space="preserve">95ms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55/100</w:t>
            </w:r>
          </w:p>
        </w:tc>
        <w:tc>
          <w:tcPr/>
          <w:p>
            <w:pPr>
              <w:pStyle w:val="Compact"/>
            </w:pPr>
            <w:r>
              <w:t xml:space="preserve">⚠️ Mejorable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1.4s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89/100</w:t>
            </w:r>
          </w:p>
        </w:tc>
        <w:tc>
          <w:tcPr/>
          <w:p>
            <w:pPr>
              <w:pStyle w:val="Compact"/>
            </w:pPr>
            <w:r>
              <w:t xml:space="preserve">✅ Bien</w:t>
            </w:r>
          </w:p>
        </w:tc>
      </w:tr>
    </w:tbl>
    <w:bookmarkEnd w:id="26"/>
    <w:bookmarkStart w:id="30" w:name="roadmap-de-remediación"/>
    <w:p>
      <w:pPr>
        <w:pStyle w:val="Heading1"/>
      </w:pPr>
      <w:r>
        <w:t xml:space="preserve">Roadmap de Remediación</w:t>
      </w:r>
    </w:p>
    <w:bookmarkStart w:id="27" w:name="X6414f7177eb12845e3cedcdaa67e33dbbc3309a"/>
    <w:p>
      <w:pPr>
        <w:pStyle w:val="Heading3"/>
      </w:pPr>
      <w:r>
        <w:t xml:space="preserve">P0 — Arreglar esta semana (impacto estimado: +60% TPS)</w:t>
      </w:r>
    </w:p>
    <w:p>
      <w:pPr>
        <w:pStyle w:val="FirstParagraph"/>
      </w:pPr>
      <w:r>
        <w:rPr>
          <w:b/>
          <w:bCs/>
        </w:rPr>
        <w:t xml:space="preserve">F-01: Aumentar pool size de HikariCP</w:t>
      </w:r>
    </w:p>
    <w:p>
      <w:pPr>
        <w:pStyle w:val="SourceCode"/>
      </w:pPr>
      <w:r>
        <w:rPr>
          <w:rStyle w:val="FunctionTok"/>
        </w:rPr>
        <w:t xml:space="preserve">spring.datasource.hikari.maximum-pool-size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spring.datasource.hikari.minimum-idle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spring.datasource.hikari.connection-timeout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</w:p>
    <w:p>
      <w:pPr>
        <w:pStyle w:val="FirstParagraph"/>
      </w:pPr>
      <w:r>
        <w:t xml:space="preserve">Mejora estimada: 320 → 480+ TPS. 30 minutos de implementación.</w:t>
      </w:r>
    </w:p>
    <w:p>
      <w:pPr>
        <w:pStyle w:val="BodyText"/>
      </w:pPr>
      <w:r>
        <w:rPr>
          <w:b/>
          <w:bCs/>
        </w:rPr>
        <w:t xml:space="preserve">F-02: Agregar índice faltante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idx_settlements_merchant_status_date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settlements(merchant_id, status,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Mejora estimada: consultas de liquidación de ~200ms a ~15ms. 5 minutos.</w:t>
      </w:r>
    </w:p>
    <w:bookmarkEnd w:id="27"/>
    <w:bookmarkStart w:id="28" w:name="p1-arreglar-este-sprint"/>
    <w:p>
      <w:pPr>
        <w:pStyle w:val="Heading3"/>
      </w:pPr>
      <w:r>
        <w:t xml:space="preserve">P1 — Arreglar este sprint</w:t>
      </w:r>
    </w:p>
    <w:p>
      <w:pPr>
        <w:pStyle w:val="FirstParagraph"/>
      </w:pPr>
      <w:r>
        <w:rPr>
          <w:b/>
          <w:bCs/>
        </w:rPr>
        <w:t xml:space="preserve">F-03:</w:t>
      </w:r>
      <w:r>
        <w:t xml:space="preserve"> </w:t>
      </w:r>
      <w:r>
        <w:t xml:space="preserve">Implementar Redis cache para config de merchant. TTL 60s. Esperado: -15% carga de BD.</w:t>
      </w:r>
    </w:p>
    <w:p>
      <w:pPr>
        <w:pStyle w:val="BodyText"/>
      </w:pPr>
      <w:r>
        <w:rPr>
          <w:b/>
          <w:bCs/>
        </w:rPr>
        <w:t xml:space="preserve">F-04:</w:t>
      </w:r>
      <w:r>
        <w:t xml:space="preserve"> </w:t>
      </w:r>
      <w:r>
        <w:t xml:space="preserve">Optimización de LCP en checkout. Diferir JS no crítico, lazy-load de imágenes bajo el fold, preconnect al CDN de pagos. Objetivo: LCP &lt;2.5s.</w:t>
      </w:r>
    </w:p>
    <w:bookmarkEnd w:id="28"/>
    <w:bookmarkStart w:id="29" w:name="p2-arreglar-este-trimestre"/>
    <w:p>
      <w:pPr>
        <w:pStyle w:val="Heading3"/>
      </w:pPr>
      <w:r>
        <w:t xml:space="preserve">P2 — Arreglar este trimestre</w:t>
      </w:r>
    </w:p>
    <w:p>
      <w:pPr>
        <w:pStyle w:val="FirstParagraph"/>
      </w:pPr>
      <w:r>
        <w:rPr>
          <w:b/>
          <w:bCs/>
        </w:rPr>
        <w:t xml:space="preserve">F-05:</w:t>
      </w:r>
      <w:r>
        <w:t xml:space="preserve"> </w:t>
      </w:r>
      <w:r>
        <w:t xml:space="preserve">Connection pooling de Redis con ioredis.</w:t>
      </w:r>
      <w:r>
        <w:t xml:space="preserve"> </w:t>
      </w:r>
      <w:r>
        <w:rPr>
          <w:b/>
          <w:bCs/>
        </w:rPr>
        <w:t xml:space="preserve">F-06:</w:t>
      </w:r>
      <w:r>
        <w:t xml:space="preserve"> </w:t>
      </w:r>
      <w:r>
        <w:t xml:space="preserve">Arreglar endpoint de health.</w:t>
      </w:r>
    </w:p>
    <w:p>
      <w:pPr>
        <w:pStyle w:val="BodyText"/>
      </w:pPr>
      <w:r>
        <w:br/>
      </w:r>
    </w:p>
    <w:p>
      <w:pPr>
        <w:pStyle w:val="BlockText"/>
      </w:pPr>
      <w:r>
        <w:rPr>
          <w:b/>
          <w:bCs/>
        </w:rPr>
        <w:t xml:space="preserve">Próximos pasos:</w:t>
      </w:r>
      <w:r>
        <w:t xml:space="preserve"> </w:t>
      </w:r>
      <w:r>
        <w:t xml:space="preserve">Implementar fixes P0 → VANTX re-testea gratis (incluido) → Validar mejora con datos. Resultado estimado: 320 → 510+ TPS.</w:t>
      </w:r>
    </w:p>
    <w:p>
      <w:pPr>
        <w:pStyle w:val="BlockText"/>
      </w:pPr>
      <w:r>
        <w:t xml:space="preserve">¿Interesado en monitoreo continuo? Nuestra suscripción Performance ($5,995/mes, descuento LATAM disponible) incluye monitoreo sintético 24/7, load tests mensuales, y reportes semanales — para que detectes el próximo bottleneck antes que tus usuarios.</w:t>
      </w:r>
    </w:p>
    <w:p>
      <w:pPr>
        <w:pStyle w:val="BlockText"/>
      </w:pPr>
      <w:r>
        <w:t xml:space="preserve">hello@vantx.io · vantx.io</w:t>
      </w:r>
    </w:p>
    <w:bookmarkEnd w:id="29"/>
    <w:bookmarkEnd w:id="30"/>
    <w:sectPr>
      <w:headerReference r:id="rId6" w:type="default"/>
      <w:footerReference r:id="rId7" w:type="default"/>
      <w:pgSz w:h="15840" w:orient="portrait" w:w="12240"/>
      <w:pgMar w:bottom="1440" w:footer="708" w:gutter="0" w:header="708" w:left="1200" w:right="12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F1B33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1B33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Relationship Type="http://schemas.openxmlformats.org/officeDocument/2006/relationships/image" Id="rId16" Target="media/rId16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Performance Checkup</dc:title>
  <dc:creator/>
  <cp:keywords/>
  <dcterms:created xsi:type="dcterms:W3CDTF">2026-03-22T20:45:01Z</dcterms:created>
  <dcterms:modified xsi:type="dcterms:W3CDTF">2026-03-22T20:45:01Z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Marzo 2026</vt:lpwstr>
  </property>
  <property fmtid="{D5CDD505-2E9C-101B-9397-08002B2CF9AE}" pid="3" name="subtitle">
    <vt:lpwstr>NovaPay SpA — Demo</vt:lpwstr>
  </property>
  <property fmtid="{D5CDD505-2E9C-101B-9397-08002B2CF9AE}" pid="4" name="version">
    <vt:lpwstr>1.0</vt:lpwstr>
  </property>
</Properties>
</file>