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2.svg" ContentType="image/svg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Load Testing Sprint Report</w:t>
      </w:r>
    </w:p>
    <w:p>
      <w:pPr>
        <w:pStyle w:val="Subtitle"/>
      </w:pPr>
      <w:r>
        <w:t xml:space="preserve">NovaPay SpA — Sprint Results</w:t>
      </w:r>
    </w:p>
    <w:p>
      <w:pPr>
        <w:pStyle w:val="Date"/>
      </w:pPr>
      <w:r>
        <w:t xml:space="preserve">March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load-testing-sprint"/>
    <w:p>
      <w:pPr>
        <w:pStyle w:val="Heading1"/>
      </w:pPr>
      <w:r>
        <w:t xml:space="preserve">LOAD TESTING SPRINT</w:t>
      </w:r>
    </w:p>
    <w:p>
      <w:pPr>
        <w:pStyle w:val="FirstParagraph"/>
      </w:pPr>
      <w:r>
        <w:rPr>
          <w:b/>
          <w:bCs/>
        </w:rPr>
        <w:t xml:space="preserve">NovaPay SpA — Payment Processing Platform</w:t>
      </w:r>
    </w:p>
    <w:p>
      <w:pPr>
        <w:pStyle w:val="BodyText"/>
      </w:pPr>
      <w:r>
        <w:t xml:space="preserve">March 2026 · VANTX · hello@vantx.io</w:t>
      </w:r>
    </w:p>
    <w:bookmarkEnd w:id="19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A 3-week load testing sprint was conducted for NovaPay’s payment processing platform. The engagement covered 5 critical flows, 4 scenario types, and 23 test runs across staging and pre-production environments. Maximum throughput achieved: 520 TPS. Breakpoint identified at 560 TPS (PostgreSQL connection exhaustion). 4 critical findings identified with specific remediation steps. All k6 scripts and Grafana dashboards delivered as reusable assets.</w:t>
      </w:r>
    </w:p>
    <w:bookmarkStart w:id="20" w:name="key-results"/>
    <w:p>
      <w:pPr>
        <w:pStyle w:val="Heading3"/>
      </w:pPr>
      <w:r>
        <w:t xml:space="preserve">Key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weeks (15 business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Scenarios designed</w:t>
            </w:r>
          </w:p>
        </w:tc>
        <w:tc>
          <w:tcPr/>
          <w:p>
            <w:pPr>
              <w:pStyle w:val="Compact"/>
            </w:pPr>
            <w:r>
              <w:t xml:space="preserve">5 flows x 4 types = 20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runs executed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TPS achieved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Breakpoint identified</w:t>
            </w:r>
          </w:p>
        </w:tc>
        <w:tc>
          <w:tcPr/>
          <w:p>
            <w:pPr>
              <w:pStyle w:val="Compact"/>
            </w:pPr>
            <w:r>
              <w:t xml:space="preserve">560 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findings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 scripts delivered</w:t>
            </w:r>
          </w:p>
        </w:tc>
        <w:tc>
          <w:tcPr/>
          <w:p>
            <w:pPr>
              <w:pStyle w:val="Compact"/>
            </w:pPr>
            <w:r>
              <w:t xml:space="preserve">5 (one per flow) + 1 combined</w:t>
            </w:r>
          </w:p>
        </w:tc>
      </w:tr>
    </w:tbl>
    <w:bookmarkEnd w:id="20"/>
    <w:bookmarkEnd w:id="21"/>
    <w:bookmarkStart w:id="25" w:name="scope-objectives"/>
    <w:p>
      <w:pPr>
        <w:pStyle w:val="Heading1"/>
      </w:pPr>
      <w:r>
        <w:t xml:space="preserve">1. Scope &amp; Objectives</w:t>
      </w:r>
    </w:p>
    <w:bookmarkStart w:id="22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Establish performance baseline for all critical payment flows</w:t>
      </w:r>
    </w:p>
    <w:p>
      <w:pPr>
        <w:pStyle w:val="Compact"/>
        <w:numPr>
          <w:ilvl w:val="0"/>
          <w:numId w:val="1001"/>
        </w:numPr>
      </w:pPr>
      <w:r>
        <w:t xml:space="preserve">Identify system breakpoint and capacity limits</w:t>
      </w:r>
    </w:p>
    <w:p>
      <w:pPr>
        <w:pStyle w:val="Compact"/>
        <w:numPr>
          <w:ilvl w:val="0"/>
          <w:numId w:val="1001"/>
        </w:numPr>
      </w:pPr>
      <w:r>
        <w:t xml:space="preserve">Validate system behavior under spike conditions (Black Friday simulation)</w:t>
      </w:r>
    </w:p>
    <w:p>
      <w:pPr>
        <w:pStyle w:val="Compact"/>
        <w:numPr>
          <w:ilvl w:val="0"/>
          <w:numId w:val="1001"/>
        </w:numPr>
      </w:pPr>
      <w:r>
        <w:t xml:space="preserve">Deliver reusable k6 framework for ongoing CI/CD integration</w:t>
      </w:r>
    </w:p>
    <w:bookmarkEnd w:id="22"/>
    <w:bookmarkStart w:id="23" w:name="flows-under-test"/>
    <w:p>
      <w:pPr>
        <w:pStyle w:val="Heading3"/>
      </w:pPr>
      <w:r>
        <w:t xml:space="preserve">Flows Under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Payment</w:t>
            </w:r>
          </w:p>
        </w:tc>
        <w:tc>
          <w:tcPr/>
          <w:p>
            <w:pPr>
              <w:pStyle w:val="Compact"/>
            </w:pPr>
            <w:r>
              <w:t xml:space="preserve">POST /api/payments → process → confirm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p95 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(guest)</w:t>
            </w:r>
          </w:p>
        </w:tc>
        <w:tc>
          <w:tcPr/>
          <w:p>
            <w:pPr>
              <w:pStyle w:val="Compact"/>
            </w:pPr>
            <w:r>
              <w:t xml:space="preserve">Full checkout flow: cart → payment → confirmation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p95 &lt; 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Export</w:t>
            </w:r>
          </w:p>
        </w:tc>
        <w:tc>
          <w:tcPr/>
          <w:p>
            <w:pPr>
              <w:pStyle w:val="Compact"/>
            </w:pPr>
            <w:r>
              <w:t xml:space="preserve">GET /api/settlements?merchant_id=X (paginated)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p95 &lt; 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 Dashboard</w:t>
            </w:r>
          </w:p>
        </w:tc>
        <w:tc>
          <w:tcPr/>
          <w:p>
            <w:pPr>
              <w:pStyle w:val="Compact"/>
            </w:pPr>
            <w:r>
              <w:t xml:space="preserve">Login → dashboard → analytics load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p95 &lt; 1.5s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Delivery</w:t>
            </w:r>
          </w:p>
        </w:tc>
        <w:tc>
          <w:tcPr/>
          <w:p>
            <w:pPr>
              <w:pStyle w:val="Compact"/>
            </w:pPr>
            <w:r>
              <w:t xml:space="preserve">Payment confirmed → webhook sent to merchant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p95 &lt; 1s</w:t>
            </w:r>
          </w:p>
        </w:tc>
      </w:tr>
    </w:tbl>
    <w:bookmarkEnd w:id="23"/>
    <w:bookmarkStart w:id="24" w:name="test-environment"/>
    <w:p>
      <w:pPr>
        <w:pStyle w:val="Heading3"/>
      </w:pPr>
      <w:r>
        <w:t xml:space="preserve">Test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Pre-production (identical to prod: ECS Fargate, RDS, ElastiCache)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AWS us-east-1, same instance sizes as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15 (RDS db.r6g.xlarge) — restored from prod snapshot (anonymized)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generators</w:t>
            </w:r>
          </w:p>
        </w:tc>
        <w:tc>
          <w:tcPr/>
          <w:p>
            <w:pPr>
              <w:pStyle w:val="Compact"/>
            </w:pPr>
            <w:r>
              <w:t xml:space="preserve">k6 Cloud (us-east-1), 3 load zones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Grafana Cloud (Prometheus + Loki + Tempo)</w:t>
            </w:r>
          </w:p>
        </w:tc>
      </w:tr>
    </w:tbl>
    <w:bookmarkEnd w:id="24"/>
    <w:bookmarkEnd w:id="25"/>
    <w:bookmarkStart w:id="28" w:name="scenario-design"/>
    <w:p>
      <w:pPr>
        <w:pStyle w:val="Heading1"/>
      </w:pPr>
      <w:r>
        <w:t xml:space="preserve">2. Scenario Design</w:t>
      </w:r>
    </w:p>
    <w:bookmarkStart w:id="26" w:name="scenario-matrix"/>
    <w:p>
      <w:pPr>
        <w:pStyle w:val="Heading3"/>
      </w:pPr>
      <w:r>
        <w:t xml:space="preserve">Scenario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VUs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Ramp</w:t>
            </w:r>
          </w:p>
        </w:tc>
        <w:tc>
          <w:tcPr/>
          <w:p>
            <w:pPr>
              <w:pStyle w:val="Compact"/>
            </w:pPr>
            <w:r>
              <w:t xml:space="preserve">Target 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Soak</w:t>
            </w:r>
          </w:p>
        </w:tc>
        <w:tc>
          <w:tcPr/>
          <w:p>
            <w:pPr>
              <w:pStyle w:val="Compact"/>
            </w:pPr>
            <w:r>
              <w:t xml:space="preserve">Soak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10→500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Stepped +10/min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</w:tbl>
    <w:bookmarkEnd w:id="26"/>
    <w:bookmarkStart w:id="27" w:name="thresholds"/>
    <w:p>
      <w:pPr>
        <w:pStyle w:val="Heading3"/>
      </w:pPr>
      <w:r>
        <w:t xml:space="preserve">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response time</w:t>
            </w:r>
          </w:p>
        </w:tc>
        <w:tc>
          <w:tcPr/>
          <w:p>
            <w:pPr>
              <w:pStyle w:val="Compact"/>
            </w:pPr>
            <w:r>
              <w:t xml:space="preserve">&lt;500ms (API), &lt;2s (checkout)</w:t>
            </w:r>
          </w:p>
        </w:tc>
        <w:tc>
          <w:tcPr/>
          <w:p>
            <w:pPr>
              <w:pStyle w:val="Compact"/>
            </w:pPr>
            <w:r>
              <w:t xml:space="preserve">NovaPay SLA commitments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response time</w:t>
            </w:r>
          </w:p>
        </w:tc>
        <w:tc>
          <w:tcPr/>
          <w:p>
            <w:pPr>
              <w:pStyle w:val="Compact"/>
            </w:pPr>
            <w:r>
              <w:t xml:space="preserve">&lt;1000ms (API), &lt;3s (checkout)</w:t>
            </w:r>
          </w:p>
        </w:tc>
        <w:tc>
          <w:tcPr/>
          <w:p>
            <w:pPr>
              <w:pStyle w:val="Compact"/>
            </w:pPr>
            <w:r>
              <w:t xml:space="preserve">Worst-case 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&lt;1% (baseline), &lt;5% (stress)</w:t>
            </w:r>
          </w:p>
        </w:tc>
        <w:tc>
          <w:tcPr/>
          <w:p>
            <w:pPr>
              <w:pStyle w:val="Compact"/>
            </w:pPr>
            <w:r>
              <w:t xml:space="preserve">Payment reliability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</w:t>
            </w:r>
          </w:p>
        </w:tc>
        <w:tc>
          <w:tcPr/>
          <w:p>
            <w:pPr>
              <w:pStyle w:val="Compact"/>
            </w:pPr>
            <w:r>
              <w:t xml:space="preserve">≥400 sustained</w:t>
            </w:r>
          </w:p>
        </w:tc>
        <w:tc>
          <w:tcPr/>
          <w:p>
            <w:pPr>
              <w:pStyle w:val="Compact"/>
            </w:pPr>
            <w:r>
              <w:t xml:space="preserve">Target for Q3 growth projection</w:t>
            </w:r>
          </w:p>
        </w:tc>
      </w:tr>
    </w:tbl>
    <w:bookmarkEnd w:id="27"/>
    <w:bookmarkEnd w:id="28"/>
    <w:bookmarkStart w:id="37" w:name="results"/>
    <w:p>
      <w:pPr>
        <w:pStyle w:val="Heading1"/>
      </w:pPr>
      <w:r>
        <w:t xml:space="preserve">3. Results</w:t>
      </w:r>
    </w:p>
    <w:bookmarkStart w:id="29" w:name="baseline"/>
    <w:p>
      <w:pPr>
        <w:pStyle w:val="Heading3"/>
      </w:pPr>
      <w:r>
        <w:t xml:space="preserve">Baseline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Users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TPS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≥150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68ms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&lt;1000ms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0.01%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29"/>
    <w:bookmarkStart w:id="30" w:name="stress"/>
    <w:p>
      <w:pPr>
        <w:pStyle w:val="Heading3"/>
      </w:pPr>
      <w:r>
        <w:t xml:space="preserve">Stress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Users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TPS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≥300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125ms</w:t>
            </w:r>
          </w:p>
        </w:tc>
        <w:tc>
          <w:tcPr/>
          <w:p>
            <w:pPr>
              <w:pStyle w:val="Compact"/>
            </w:pPr>
            <w:r>
              <w:t xml:space="preserve">&lt;300ms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420ms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780ms</w:t>
            </w:r>
          </w:p>
        </w:tc>
        <w:tc>
          <w:tcPr/>
          <w:p>
            <w:pPr>
              <w:pStyle w:val="Compact"/>
            </w:pPr>
            <w:r>
              <w:t xml:space="preserve">&lt;1000ms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30"/>
    <w:bookmarkStart w:id="31" w:name="spike"/>
    <w:p>
      <w:pPr>
        <w:pStyle w:val="Heading3"/>
      </w:pPr>
      <w:r>
        <w:t xml:space="preserve">Spike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Users</w:t>
            </w:r>
          </w:p>
        </w:tc>
        <w:tc>
          <w:tcPr/>
          <w:p>
            <w:pPr>
              <w:pStyle w:val="Compact"/>
            </w:pPr>
            <w:r>
              <w:t xml:space="preserve">250 (ramp 30s)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TPS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≥400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1,800ms</w:t>
            </w:r>
          </w:p>
        </w:tc>
        <w:tc>
          <w:tcPr/>
          <w:p>
            <w:pPr>
              <w:pStyle w:val="Compact"/>
            </w:pPr>
            <w:r>
              <w:t xml:space="preserve">&lt;2000ms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18s</w:t>
            </w:r>
          </w:p>
        </w:tc>
        <w:tc>
          <w:tcPr/>
          <w:p>
            <w:pPr>
              <w:pStyle w:val="Compact"/>
            </w:pPr>
            <w:r>
              <w:t xml:space="preserve">&lt;30s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31"/>
    <w:bookmarkStart w:id="35" w:name="soak-2-hours"/>
    <w:p>
      <w:pPr>
        <w:pStyle w:val="Heading3"/>
      </w:pPr>
      <w:r>
        <w:t xml:space="preserve">Soak (2 hours)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TPS</w:t>
            </w:r>
          </w:p>
        </w:tc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≥150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195ms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growth</w:t>
            </w:r>
          </w:p>
        </w:tc>
        <w:tc>
          <w:tcPr/>
          <w:p>
            <w:pPr>
              <w:pStyle w:val="Compact"/>
            </w:pPr>
            <w:r>
              <w:t xml:space="preserve">+45 MB (Java heap)</w:t>
            </w:r>
          </w:p>
        </w:tc>
        <w:tc>
          <w:tcPr/>
          <w:p>
            <w:pPr>
              <w:pStyle w:val="Compact"/>
            </w:pPr>
            <w:r>
              <w:t xml:space="preserve">&lt;200 MB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0.02%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p>
      <w:pPr>
        <w:pStyle w:val="CaptionedFigure"/>
      </w:pPr>
      <w:r>
        <w:drawing>
          <wp:inline>
            <wp:extent cx="5334000" cy="3048000"/>
            <wp:effectExtent b="0" l="0" r="0" t="0"/>
            <wp:docPr descr="Breakpoint Analysis" title="" id="33" name="Picture"/>
            <a:graphic>
              <a:graphicData uri="http://schemas.openxmlformats.org/drawingml/2006/picture">
                <pic:pic>
                  <pic:nvPicPr>
                    <pic:cNvPr descr="assets/charts/breakpoint-chart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Breakpoint Analysis</w:t>
      </w:r>
    </w:p>
    <w:bookmarkEnd w:id="35"/>
    <w:bookmarkStart w:id="36" w:name="breakpoint"/>
    <w:p>
      <w:pPr>
        <w:pStyle w:val="Heading3"/>
      </w:pPr>
      <w:r>
        <w:t xml:space="preserve">Breakpoint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VUs</w:t>
            </w:r>
          </w:p>
        </w:tc>
        <w:tc>
          <w:tcPr/>
          <w:p>
            <w:pPr>
              <w:pStyle w:val="Compact"/>
            </w:pPr>
            <w:r>
              <w:t xml:space="preserve">TPS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0.01%</w:t>
            </w:r>
          </w:p>
        </w:tc>
        <w:tc>
          <w:tcPr/>
          <w:p>
            <w:pPr>
              <w:pStyle w:val="Compact"/>
            </w:pPr>
            <w:r>
              <w:t xml:space="preserve">✅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420ms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✅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890ms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⚠️ Degrading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4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1,800ms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⚠️ Stressed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560 → drop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4,200ms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Breakpoint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Breakpoint at 560 TPS (250 VUs).</w:t>
      </w:r>
      <w:r>
        <w:t xml:space="preserve"> </w:t>
      </w:r>
      <w:r>
        <w:t xml:space="preserve">PostgreSQL connection pool exhausted at this point. ECS auto-scaled to 12 tasks but all tasks competed for the same 30 HikariCP connections. Latency cliff: p95 jumped from 1.8s to 4.2s in 30 seconds.</w:t>
      </w:r>
    </w:p>
    <w:bookmarkEnd w:id="36"/>
    <w:bookmarkEnd w:id="37"/>
    <w:bookmarkStart w:id="38" w:name="findings"/>
    <w:p>
      <w:pPr>
        <w:pStyle w:val="Heading1"/>
      </w:pPr>
      <w:r>
        <w:t xml:space="preserve">4.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Recommended Fix</w:t>
            </w:r>
          </w:p>
        </w:tc>
        <w:tc>
          <w:tcPr/>
          <w:p>
            <w:pPr>
              <w:pStyle w:val="Compact"/>
            </w:pPr>
            <w:r>
              <w:t xml:space="preserve">Estimated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LT-01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PostgreSQL connection pool is the primary bottleneck at &gt;500 TPS</w:t>
            </w:r>
          </w:p>
        </w:tc>
        <w:tc>
          <w:tcPr/>
          <w:p>
            <w:pPr>
              <w:pStyle w:val="Compact"/>
            </w:pPr>
            <w:r>
              <w:t xml:space="preserve">Breakpoint trace shows connection wait time &gt;3s at 560 TPS</w:t>
            </w:r>
          </w:p>
        </w:tc>
        <w:tc>
          <w:tcPr/>
          <w:p>
            <w:pPr>
              <w:pStyle w:val="Compact"/>
            </w:pPr>
            <w:r>
              <w:t xml:space="preserve">Deploy PgBouncer as external connection pooler</w:t>
            </w:r>
          </w:p>
        </w:tc>
        <w:tc>
          <w:tcPr/>
          <w:p>
            <w:pPr>
              <w:pStyle w:val="Compact"/>
            </w:pPr>
            <w:r>
              <w:t xml:space="preserve">+40-60% TPS headroom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LT-02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Webhook delivery adds 80ms latency to payment flow (synchronous call)</w:t>
            </w:r>
          </w:p>
        </w:tc>
        <w:tc>
          <w:tcPr/>
          <w:p>
            <w:pPr>
              <w:pStyle w:val="Compact"/>
            </w:pPr>
            <w:r>
              <w:t xml:space="preserve">Trace flamegraph shows webhook dispatch in the hot path</w:t>
            </w:r>
          </w:p>
        </w:tc>
        <w:tc>
          <w:tcPr/>
          <w:p>
            <w:pPr>
              <w:pStyle w:val="Compact"/>
            </w:pPr>
            <w:r>
              <w:t xml:space="preserve">Make webhook delivery async via SQS</w:t>
            </w:r>
          </w:p>
        </w:tc>
        <w:tc>
          <w:tcPr/>
          <w:p>
            <w:pPr>
              <w:pStyle w:val="Compact"/>
            </w:pPr>
            <w:r>
              <w:t xml:space="preserve">-80ms on payment p50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LT-03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Settlement export without merchant index still hits cold path at scale</w:t>
            </w:r>
          </w:p>
        </w:tc>
        <w:tc>
          <w:tcPr/>
          <w:p>
            <w:pPr>
              <w:pStyle w:val="Compact"/>
            </w:pPr>
            <w:r>
              <w:t xml:space="preserve">Slow query log shows 2s queries for merchants with &gt;50K settlements</w:t>
            </w:r>
          </w:p>
        </w:tc>
        <w:tc>
          <w:tcPr/>
          <w:p>
            <w:pPr>
              <w:pStyle w:val="Compact"/>
            </w:pPr>
            <w:r>
              <w:t xml:space="preserve">Add composite index + explain plan review</w:t>
            </w:r>
          </w:p>
        </w:tc>
        <w:tc>
          <w:tcPr/>
          <w:p>
            <w:pPr>
              <w:pStyle w:val="Compact"/>
            </w:pPr>
            <w:r>
              <w:t xml:space="preserve">Settlement p95 from 1.8s to ~200ms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LT-04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Java heap grows 45MB over 2h soak — possible slow leak in session cache</w:t>
            </w:r>
          </w:p>
        </w:tc>
        <w:tc>
          <w:tcPr/>
          <w:p>
            <w:pPr>
              <w:pStyle w:val="Compact"/>
            </w:pPr>
            <w:r>
              <w:t xml:space="preserve">Heap dump shows accumulating</w:t>
            </w:r>
            <w:r>
              <w:t xml:space="preserve"> </w:t>
            </w:r>
            <w:r>
              <w:rPr>
                <w:rStyle w:val="VerbatimChar"/>
              </w:rPr>
              <w:t xml:space="preserve">MerchantConfigCache</w:t>
            </w:r>
            <w:r>
              <w:t xml:space="preserve"> </w:t>
            </w:r>
            <w:r>
              <w:t xml:space="preserve">entries</w:t>
            </w:r>
          </w:p>
        </w:tc>
        <w:tc>
          <w:tcPr/>
          <w:p>
            <w:pPr>
              <w:pStyle w:val="Compact"/>
            </w:pPr>
            <w:r>
              <w:t xml:space="preserve">Add TTL eviction to in-memory cache</w:t>
            </w:r>
          </w:p>
        </w:tc>
        <w:tc>
          <w:tcPr/>
          <w:p>
            <w:pPr>
              <w:pStyle w:val="Compact"/>
            </w:pPr>
            <w:r>
              <w:t xml:space="preserve">Prevents OOM in long-running tasks</w:t>
            </w:r>
          </w:p>
        </w:tc>
      </w:tr>
    </w:tbl>
    <w:bookmarkEnd w:id="38"/>
    <w:bookmarkStart w:id="40" w:name="deliverables"/>
    <w:p>
      <w:pPr>
        <w:pStyle w:val="Heading1"/>
      </w:pPr>
      <w:r>
        <w:t xml:space="preserve">5.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 scripts</w:t>
            </w:r>
          </w:p>
        </w:tc>
        <w:tc>
          <w:tcPr/>
          <w:p>
            <w:pPr>
              <w:pStyle w:val="Compact"/>
            </w:pPr>
            <w:r>
              <w:t xml:space="preserve">5 flow scripts + 1 combined scenario + shared utilities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tests/k6/</w:t>
            </w:r>
            <w:r>
              <w:t xml:space="preserve"> </w:t>
            </w:r>
            <w:r>
              <w:t xml:space="preserve">in NovaPay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dashboard</w:t>
            </w:r>
          </w:p>
        </w:tc>
        <w:tc>
          <w:tcPr/>
          <w:p>
            <w:pPr>
              <w:pStyle w:val="Compact"/>
            </w:pPr>
            <w:r>
              <w:t xml:space="preserve">k6 results dashboard with custom panels per flow</w:t>
            </w:r>
          </w:p>
        </w:tc>
        <w:tc>
          <w:tcPr/>
          <w:p>
            <w:pPr>
              <w:pStyle w:val="Compact"/>
            </w:pPr>
            <w:r>
              <w:t xml:space="preserve">https://novapay.grafana.net/d/k6-sprint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integration</w:t>
            </w:r>
          </w:p>
        </w:tc>
        <w:tc>
          <w:tcPr/>
          <w:p>
            <w:pPr>
              <w:pStyle w:val="Compact"/>
            </w:pPr>
            <w:r>
              <w:t xml:space="preserve">GitHub Actions workflow: baseline on every PR, full suite weekly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.github/workflows/load-test.yml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results</w:t>
            </w:r>
          </w:p>
        </w:tc>
        <w:tc>
          <w:tcPr/>
          <w:p>
            <w:pPr>
              <w:pStyle w:val="Compact"/>
            </w:pPr>
            <w:r>
              <w:t xml:space="preserve">All 23 test run results with Grafana snapshots</w:t>
            </w:r>
          </w:p>
        </w:tc>
        <w:tc>
          <w:tcPr/>
          <w:p>
            <w:pPr>
              <w:pStyle w:val="Compact"/>
            </w:pPr>
            <w:r>
              <w:t xml:space="preserve">Shared Google Drive folder</w:t>
            </w:r>
          </w:p>
        </w:tc>
      </w:tr>
    </w:tbl>
    <w:bookmarkStart w:id="39" w:name="k6-script-inventory"/>
    <w:p>
      <w:pPr>
        <w:pStyle w:val="Heading3"/>
      </w:pPr>
      <w:r>
        <w:t xml:space="preserve">k6 Script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payment-flow.js</w:t>
            </w:r>
          </w:p>
        </w:tc>
        <w:tc>
          <w:tcPr/>
          <w:p>
            <w:pPr>
              <w:pStyle w:val="Compact"/>
            </w:pPr>
            <w:r>
              <w:t xml:space="preserve">Create Payment</w:t>
            </w:r>
          </w:p>
        </w:tc>
        <w:tc>
          <w:tcPr/>
          <w:p>
            <w:pPr>
              <w:pStyle w:val="Compact"/>
            </w:pPr>
            <w:r>
              <w:t xml:space="preserve">baseline, stress, spike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checkout-flow.js</w:t>
            </w:r>
          </w:p>
        </w:tc>
        <w:tc>
          <w:tcPr/>
          <w:p>
            <w:pPr>
              <w:pStyle w:val="Compact"/>
            </w:pPr>
            <w:r>
              <w:t xml:space="preserve">Guest Checkout</w:t>
            </w:r>
          </w:p>
        </w:tc>
        <w:tc>
          <w:tcPr/>
          <w:p>
            <w:pPr>
              <w:pStyle w:val="Compact"/>
            </w:pPr>
            <w:r>
              <w:t xml:space="preserve">baseline, stress, spike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settlement-export.js</w:t>
            </w:r>
          </w:p>
        </w:tc>
        <w:tc>
          <w:tcPr/>
          <w:p>
            <w:pPr>
              <w:pStyle w:val="Compact"/>
            </w:pPr>
            <w:r>
              <w:t xml:space="preserve">Settlement Export</w:t>
            </w:r>
          </w:p>
        </w:tc>
        <w:tc>
          <w:tcPr/>
          <w:p>
            <w:pPr>
              <w:pStyle w:val="Compact"/>
            </w:pPr>
            <w:r>
              <w:t xml:space="preserve">baseline, stress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merchant-dashboard.js</w:t>
            </w:r>
          </w:p>
        </w:tc>
        <w:tc>
          <w:tcPr/>
          <w:p>
            <w:pPr>
              <w:pStyle w:val="Compact"/>
            </w:pPr>
            <w:r>
              <w:t xml:space="preserve">Merchant Dashboard</w:t>
            </w:r>
          </w:p>
        </w:tc>
        <w:tc>
          <w:tcPr/>
          <w:p>
            <w:pPr>
              <w:pStyle w:val="Compact"/>
            </w:pPr>
            <w:r>
              <w:t xml:space="preserve">baseline, stress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webhook-delivery.js</w:t>
            </w:r>
          </w:p>
        </w:tc>
        <w:tc>
          <w:tcPr/>
          <w:p>
            <w:pPr>
              <w:pStyle w:val="Compact"/>
            </w:pPr>
            <w:r>
              <w:t xml:space="preserve">Webhook Delivery</w:t>
            </w:r>
          </w:p>
        </w:tc>
        <w:tc>
          <w:tcPr/>
          <w:p>
            <w:pPr>
              <w:pStyle w:val="Compact"/>
            </w:pPr>
            <w:r>
              <w:t xml:space="preserve">baseline, stress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combined-scenario.js</w:t>
            </w:r>
          </w:p>
        </w:tc>
        <w:tc>
          <w:tcPr/>
          <w:p>
            <w:pPr>
              <w:pStyle w:val="Compact"/>
            </w:pPr>
            <w:r>
              <w:t xml:space="preserve">All flows (weighted)</w:t>
            </w:r>
          </w:p>
        </w:tc>
        <w:tc>
          <w:tcPr/>
          <w:p>
            <w:pPr>
              <w:pStyle w:val="Compact"/>
            </w:pPr>
            <w:r>
              <w:t xml:space="preserve">all types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</w:tr>
    </w:tbl>
    <w:bookmarkEnd w:id="39"/>
    <w:bookmarkEnd w:id="40"/>
    <w:bookmarkStart w:id="41" w:name="capacity-planning"/>
    <w:p>
      <w:pPr>
        <w:pStyle w:val="Heading1"/>
      </w:pPr>
      <w:r>
        <w:t xml:space="preserve">6. Capacity Planning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Required TPS</w:t>
            </w:r>
          </w:p>
        </w:tc>
        <w:tc>
          <w:tcPr/>
          <w:p>
            <w:pPr>
              <w:pStyle w:val="Compact"/>
            </w:pPr>
            <w:r>
              <w:t xml:space="preserve">Current Max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Action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traffic (180 avg)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+189% headroom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2x growth (Q3)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+44%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3x growth (Q4 with partnerships)</w:t>
            </w:r>
          </w:p>
        </w:tc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-4%</w:t>
            </w:r>
          </w:p>
        </w:tc>
        <w:tc>
          <w:tcPr/>
          <w:p>
            <w:pPr>
              <w:pStyle w:val="Compact"/>
            </w:pPr>
            <w:r>
              <w:t xml:space="preserve">Deploy PgBouncer (LT-01)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 growth (Black Friday)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-42%</w:t>
            </w:r>
          </w:p>
        </w:tc>
        <w:tc>
          <w:tcPr/>
          <w:p>
            <w:pPr>
              <w:pStyle w:val="Compact"/>
            </w:pPr>
            <w:r>
              <w:t xml:space="preserve">PgBouncer + read replicas + async webhooks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10x growth (next year)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-71%</w:t>
            </w:r>
          </w:p>
        </w:tc>
        <w:tc>
          <w:tcPr/>
          <w:p>
            <w:pPr>
              <w:pStyle w:val="Compact"/>
            </w:pPr>
            <w:r>
              <w:t xml:space="preserve">Full architecture review — consider sharding</w:t>
            </w:r>
          </w:p>
        </w:tc>
      </w:tr>
    </w:tbl>
    <w:bookmarkEnd w:id="41"/>
    <w:bookmarkStart w:id="42" w:name="recommendations"/>
    <w:p>
      <w:pPr>
        <w:pStyle w:val="Heading1"/>
      </w:pPr>
      <w:r>
        <w:t xml:space="preserve">7. Recommendations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Immediate (LT-01):</w:t>
      </w:r>
      <w:r>
        <w:t xml:space="preserve"> </w:t>
      </w:r>
      <w:r>
        <w:t xml:space="preserve">Deploy PgBouncer in transaction mode between ECS tasks and RDS. This is the single highest-impact change — estimated to push breakpoint from 560 to 800+ TPS without any application changes.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This sprint (LT-02):</w:t>
      </w:r>
      <w:r>
        <w:t xml:space="preserve"> </w:t>
      </w:r>
      <w:r>
        <w:t xml:space="preserve">Make webhook delivery asynchronous. Currently adds 80ms to every payment. SQS + a small consumer service. Payment p50 would drop from 68ms to ~45ms.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This quarter (LT-03, LT-04):</w:t>
      </w:r>
      <w:r>
        <w:t xml:space="preserve"> </w:t>
      </w:r>
      <w:r>
        <w:t xml:space="preserve">Index optimization for settlement queries. Cache TTL fix to prevent heap growth. Both are straightforward.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Run baseline load test on every PR (already configured in CI). Run full suite (stress + spike) weekly via scheduled workflow. Run breakpoint test monthly to track capacity trend.</w:t>
      </w:r>
    </w:p>
    <w:p>
      <w:pPr>
        <w:pStyle w:val="FirstParagraph"/>
      </w:pPr>
      <w:r>
        <w:br/>
      </w:r>
    </w:p>
    <w:p>
      <w:pPr>
        <w:pStyle w:val="Block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Implement LT-01 (PgBouncer) → VANTX re-tests (included) → Validate improvement. Consider Performance subscription ($5,995/mo) for continuous monthly testing.</w:t>
      </w:r>
    </w:p>
    <w:p>
      <w:pPr>
        <w:pStyle w:val="BlockText"/>
      </w:pPr>
      <w:r>
        <w:t xml:space="preserve">hello@vantx.io · vantx.io</w:t>
      </w:r>
    </w:p>
    <w:bookmarkEnd w:id="42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32" Target="media/rId32.svg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Load Testing Sprint Report</dc:title>
  <dc:creator/>
  <cp:keywords/>
  <dcterms:created xsi:type="dcterms:W3CDTF">2026-03-22T22:19:29Z</dcterms:created>
  <dcterms:modified xsi:type="dcterms:W3CDTF">2026-03-22T22:19:29Z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NovaPay SpA — Sprint Results</vt:lpwstr>
  </property>
  <property fmtid="{D5CDD505-2E9C-101B-9397-08002B2CF9AE}" pid="4" name="version">
    <vt:lpwstr>1.0</vt:lpwstr>
  </property>
</Properties>
</file>