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svg" ContentType="image/svg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Monthly Observability Report</w:t>
      </w:r>
    </w:p>
    <w:p>
      <w:pPr>
        <w:pStyle w:val="Subtitle"/>
      </w:pPr>
      <w:r>
        <w:t xml:space="preserve">NovaPay SpA — March 2026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monthly-observability-report"/>
    <w:p>
      <w:pPr>
        <w:pStyle w:val="Heading1"/>
      </w:pPr>
      <w:r>
        <w:t xml:space="preserve">MONTHLY OBSERVABILITY REPORT</w:t>
      </w:r>
    </w:p>
    <w:p>
      <w:pPr>
        <w:pStyle w:val="FirstParagraph"/>
      </w:pPr>
      <w:r>
        <w:rPr>
          <w:b/>
          <w:bCs/>
        </w:rPr>
        <w:t xml:space="preserve">NovaPay SpA</w:t>
      </w:r>
      <w:r>
        <w:t xml:space="preserve"> </w:t>
      </w:r>
      <w:r>
        <w:t xml:space="preserve">· March 2026</w:t>
      </w:r>
    </w:p>
    <w:p>
      <w:pPr>
        <w:pStyle w:val="BodyText"/>
      </w:pPr>
      <w:r>
        <w:t xml:space="preserve">VANTX · hello@vantx.io</w:t>
      </w:r>
    </w:p>
    <w:bookmarkEnd w:id="19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March marks Month 2 of NovaPay’s managed observability engagement. The OTel instrumentation rollout completed in February — all 4 services now emit structured metrics, logs, and traces. This month focused on tuning alerts (noise ratio dropped from 35% to 8%), defining the first SLOs, and onboarding the team to the on-call rotation. One P1 incident occurred (settlement delay on Mar 12, 22 min MTTR) — detected by the new SLO-based alert 14 minutes faster than the old CloudWatch setup would have caught it.</w:t>
      </w:r>
    </w:p>
    <w:bookmarkStart w:id="20" w:name="month-at-a-glance"/>
    <w:p>
      <w:pPr>
        <w:pStyle w:val="Heading3"/>
      </w:pPr>
      <w:r>
        <w:t xml:space="preserve">Month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 compliance</w:t>
            </w:r>
          </w:p>
        </w:tc>
        <w:tc>
          <w:tcPr/>
          <w:p>
            <w:pPr>
              <w:pStyle w:val="Compact"/>
            </w:pPr>
            <w:r>
              <w:t xml:space="preserve">100% (4/4 SLOs met)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budget remaining</w:t>
            </w:r>
          </w:p>
        </w:tc>
        <w:tc>
          <w:tcPr/>
          <w:p>
            <w:pPr>
              <w:pStyle w:val="Compact"/>
            </w:pPr>
            <w:r>
              <w:t xml:space="preserve">82% avg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noise ratio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MTTD (mean time to detect)</w:t>
            </w:r>
          </w:p>
        </w:tc>
        <w:tc>
          <w:tcPr/>
          <w:p>
            <w:pPr>
              <w:pStyle w:val="Compact"/>
            </w:pPr>
            <w:r>
              <w:t xml:space="preserve">2.1 min</w:t>
            </w:r>
          </w:p>
        </w:tc>
        <w:tc>
          <w:tcPr/>
          <w:p>
            <w:pPr>
              <w:pStyle w:val="Compact"/>
            </w:pPr>
            <w:r>
              <w:t xml:space="preserve">&lt;5 min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(mean time to resolve)</w:t>
            </w:r>
          </w:p>
        </w:tc>
        <w:tc>
          <w:tcPr/>
          <w:p>
            <w:pPr>
              <w:pStyle w:val="Compact"/>
            </w:pPr>
            <w:r>
              <w:t xml:space="preserve">18 min</w:t>
            </w:r>
          </w:p>
        </w:tc>
        <w:tc>
          <w:tcPr/>
          <w:p>
            <w:pPr>
              <w:pStyle w:val="Compact"/>
            </w:pPr>
            <w:r>
              <w:t xml:space="preserve">&lt;30 min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Incidents (total)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cost</w:t>
            </w:r>
          </w:p>
        </w:tc>
        <w:tc>
          <w:tcPr/>
          <w:p>
            <w:pPr>
              <w:pStyle w:val="Compact"/>
            </w:pPr>
            <w:r>
              <w:t xml:space="preserve">$0 overage</w:t>
            </w:r>
          </w:p>
        </w:tc>
        <w:tc>
          <w:tcPr/>
          <w:p>
            <w:pPr>
              <w:pStyle w:val="Compact"/>
            </w:pPr>
            <w:r>
              <w:t xml:space="preserve">&lt;$200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0"/>
    <w:bookmarkEnd w:id="21"/>
    <w:bookmarkStart w:id="23" w:name="slo-status"/>
    <w:p>
      <w:pPr>
        <w:pStyle w:val="Heading1"/>
      </w:pPr>
      <w:r>
        <w:t xml:space="preserve">1. SLO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Budget Remaining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</w:t>
            </w:r>
          </w:p>
        </w:tc>
        <w:tc>
          <w:tcPr/>
          <w:p>
            <w:pPr>
              <w:pStyle w:val="Compact"/>
            </w:pPr>
            <w:r>
              <w:t xml:space="preserve">Availability (non-5xx)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</w:t>
            </w:r>
          </w:p>
        </w:tc>
        <w:tc>
          <w:tcPr/>
          <w:p>
            <w:pPr>
              <w:pStyle w:val="Compact"/>
            </w:pPr>
            <w:r>
              <w:t xml:space="preserve">p95 latency &lt; 500ms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LCP (p75) &lt; 2.5s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96.2%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Batch &lt; 30min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</w:tbl>
    <w:bookmarkStart w:id="22" w:name="error-budget-burn"/>
    <w:p>
      <w:pPr>
        <w:pStyle w:val="Heading3"/>
      </w:pPr>
      <w:r>
        <w:t xml:space="preserve">Error Budget Burn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Budget (30d)</w:t>
            </w:r>
          </w:p>
        </w:tc>
        <w:tc>
          <w:tcPr/>
          <w:p>
            <w:pPr>
              <w:pStyle w:val="Compact"/>
            </w:pPr>
            <w:r>
              <w:t xml:space="preserve">Consumed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Projected Exhaustion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 (avail)</w:t>
            </w:r>
          </w:p>
        </w:tc>
        <w:tc>
          <w:tcPr/>
          <w:p>
            <w:pPr>
              <w:pStyle w:val="Compact"/>
            </w:pPr>
            <w:r>
              <w:t xml:space="preserve">43.2 min</w:t>
            </w:r>
          </w:p>
        </w:tc>
        <w:tc>
          <w:tcPr/>
          <w:p>
            <w:pPr>
              <w:pStyle w:val="Compact"/>
            </w:pPr>
            <w:r>
              <w:t xml:space="preserve">3.9 min</w:t>
            </w:r>
          </w:p>
        </w:tc>
        <w:tc>
          <w:tcPr/>
          <w:p>
            <w:pPr>
              <w:pStyle w:val="Compact"/>
            </w:pPr>
            <w:r>
              <w:t xml:space="preserve">0.09x</w:t>
            </w:r>
          </w:p>
        </w:tc>
        <w:tc>
          <w:tcPr/>
          <w:p>
            <w:pPr>
              <w:pStyle w:val="Compact"/>
            </w:pPr>
            <w:r>
              <w:t xml:space="preserve">Never (at current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 (latency)</w:t>
            </w:r>
          </w:p>
        </w:tc>
        <w:tc>
          <w:tcPr/>
          <w:p>
            <w:pPr>
              <w:pStyle w:val="Compact"/>
            </w:pPr>
            <w:r>
              <w:t xml:space="preserve">432 min</w:t>
            </w:r>
          </w:p>
        </w:tc>
        <w:tc>
          <w:tcPr/>
          <w:p>
            <w:pPr>
              <w:pStyle w:val="Compact"/>
            </w:pPr>
            <w:r>
              <w:t xml:space="preserve">78 min</w:t>
            </w:r>
          </w:p>
        </w:tc>
        <w:tc>
          <w:tcPr/>
          <w:p>
            <w:pPr>
              <w:pStyle w:val="Compact"/>
            </w:pPr>
            <w:r>
              <w:t xml:space="preserve">0.18x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(LCP)</w:t>
            </w:r>
          </w:p>
        </w:tc>
        <w:tc>
          <w:tcPr/>
          <w:p>
            <w:pPr>
              <w:pStyle w:val="Compact"/>
            </w:pPr>
            <w:r>
              <w:t xml:space="preserve">36h</w:t>
            </w:r>
          </w:p>
        </w:tc>
        <w:tc>
          <w:tcPr/>
          <w:p>
            <w:pPr>
              <w:pStyle w:val="Compact"/>
            </w:pPr>
            <w:r>
              <w:t xml:space="preserve">9.4h</w:t>
            </w:r>
          </w:p>
        </w:tc>
        <w:tc>
          <w:tcPr/>
          <w:p>
            <w:pPr>
              <w:pStyle w:val="Compact"/>
            </w:pPr>
            <w:r>
              <w:t xml:space="preserve">0.26x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(batch)</w:t>
            </w:r>
          </w:p>
        </w:tc>
        <w:tc>
          <w:tcPr/>
          <w:p>
            <w:pPr>
              <w:pStyle w:val="Compact"/>
            </w:pPr>
            <w:r>
              <w:t xml:space="preserve">216 min</w:t>
            </w:r>
          </w:p>
        </w:tc>
        <w:tc>
          <w:tcPr/>
          <w:p>
            <w:pPr>
              <w:pStyle w:val="Compact"/>
            </w:pPr>
            <w:r>
              <w:t xml:space="preserve">34 min</w:t>
            </w:r>
          </w:p>
        </w:tc>
        <w:tc>
          <w:tcPr/>
          <w:p>
            <w:pPr>
              <w:pStyle w:val="Compact"/>
            </w:pPr>
            <w:r>
              <w:t xml:space="preserve">0.16x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</w:tbl>
    <w:bookmarkEnd w:id="22"/>
    <w:bookmarkEnd w:id="23"/>
    <w:bookmarkStart w:id="27" w:name="alerting-health"/>
    <w:p>
      <w:pPr>
        <w:pStyle w:val="Heading1"/>
      </w:pPr>
      <w:r>
        <w:t xml:space="preserve">2. Alerting Health</w:t>
      </w:r>
    </w:p>
    <w:bookmarkStart w:id="24" w:name="alert-summary"/>
    <w:p>
      <w:pPr>
        <w:pStyle w:val="Heading3"/>
      </w:pPr>
      <w:r>
        <w:t xml:space="preserve">Alert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Fired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Noise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8%</w:t>
            </w:r>
          </w:p>
        </w:tc>
      </w:tr>
    </w:tbl>
    <w:bookmarkEnd w:id="24"/>
    <w:bookmarkStart w:id="25" w:name="noisy-alerts-to-review"/>
    <w:p>
      <w:pPr>
        <w:pStyle w:val="Heading3"/>
      </w:pPr>
      <w:r>
        <w:t xml:space="preserve">Noisy Alerts (to review)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Fires</w:t>
            </w:r>
          </w:p>
        </w:tc>
        <w:tc>
          <w:tcPr/>
          <w:p>
            <w:pPr>
              <w:pStyle w:val="Compact"/>
            </w:pPr>
            <w:r>
              <w:t xml:space="preserve">False Positives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p95 &gt; 2s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Increase threshold to 3s — batch settlements naturally spike during nightly 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memory &gt; 70%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Adjust to 85% — normal cache fill behavior</w:t>
            </w:r>
          </w:p>
        </w:tc>
      </w:tr>
    </w:tbl>
    <w:bookmarkEnd w:id="25"/>
    <w:bookmarkStart w:id="26" w:name="missing-alerts-gaps-detected"/>
    <w:p>
      <w:pPr>
        <w:pStyle w:val="Heading3"/>
      </w:pPr>
      <w:r>
        <w:t xml:space="preserve">Missing Alerts (gaps detected)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Current Coverage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SQS queue depth growing</w:t>
            </w:r>
          </w:p>
        </w:tc>
        <w:tc>
          <w:tcPr/>
          <w:p>
            <w:pPr>
              <w:pStyle w:val="Compact"/>
            </w:pPr>
            <w:r>
              <w:t xml:space="preserve">No alert</w:t>
            </w:r>
          </w:p>
        </w:tc>
        <w:tc>
          <w:tcPr/>
          <w:p>
            <w:pPr>
              <w:pStyle w:val="Compact"/>
            </w:pPr>
            <w:r>
              <w:t xml:space="preserve">Add alert: queue depth &gt; 1000 for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replication lag</w:t>
            </w:r>
          </w:p>
        </w:tc>
        <w:tc>
          <w:tcPr/>
          <w:p>
            <w:pPr>
              <w:pStyle w:val="Compact"/>
            </w:pPr>
            <w:r>
              <w:t xml:space="preserve">No alert</w:t>
            </w:r>
          </w:p>
        </w:tc>
        <w:tc>
          <w:tcPr/>
          <w:p>
            <w:pPr>
              <w:pStyle w:val="Compact"/>
            </w:pPr>
            <w:r>
              <w:t xml:space="preserve">Add alert: lag &gt; 30s</w:t>
            </w:r>
          </w:p>
        </w:tc>
      </w:tr>
    </w:tbl>
    <w:bookmarkEnd w:id="26"/>
    <w:bookmarkEnd w:id="27"/>
    <w:bookmarkStart w:id="32" w:name="incident-review"/>
    <w:p>
      <w:pPr>
        <w:pStyle w:val="Heading1"/>
      </w:pPr>
      <w:r>
        <w:t xml:space="preserve">3. Incident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MTTD</w:t>
            </w:r>
          </w:p>
        </w:tc>
        <w:tc>
          <w:tcPr/>
          <w:p>
            <w:pPr>
              <w:pStyle w:val="Compact"/>
            </w:pPr>
            <w: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1.5 min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Slow checkouts (3 min)</w:t>
            </w:r>
          </w:p>
        </w:tc>
        <w:tc>
          <w:tcPr/>
          <w:p>
            <w:pPr>
              <w:pStyle w:val="Compact"/>
            </w:pPr>
            <w:r>
              <w:t xml:space="preserve">CDN cache invalidation during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12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2.1 min</w:t>
            </w:r>
          </w:p>
        </w:tc>
        <w:tc>
          <w:tcPr/>
          <w:p>
            <w:pPr>
              <w:pStyle w:val="Compac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Export timeouts (12 min)</w:t>
            </w:r>
          </w:p>
        </w:tc>
        <w:tc>
          <w:tcPr/>
          <w:p>
            <w:pPr>
              <w:pStyle w:val="Compact"/>
            </w:pPr>
            <w:r>
              <w:t xml:space="preserve">120K row batch exceeded query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19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0.5 min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Brief 503s during deploy</w:t>
            </w:r>
          </w:p>
        </w:tc>
        <w:tc>
          <w:tcPr/>
          <w:p>
            <w:pPr>
              <w:pStyle w:val="Compact"/>
            </w:pPr>
            <w:r>
              <w:t xml:space="preserve">Planned rolling restart</w:t>
            </w:r>
          </w:p>
        </w:tc>
      </w:tr>
    </w:tbl>
    <w:bookmarkStart w:id="31" w:name="incident-trends-3-months"/>
    <w:p>
      <w:pPr>
        <w:pStyle w:val="Heading3"/>
      </w:pPr>
      <w:r>
        <w:t xml:space="preserve">Incident Trends (3 months)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Avg MTTR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45 min (pre-OTel)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28 min (partial OTel)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 min</w:t>
            </w:r>
          </w:p>
        </w:tc>
      </w:tr>
    </w:tbl>
    <w:p>
      <w:pPr>
        <w:pStyle w:val="CaptionedFigure"/>
      </w:pPr>
      <w:r>
        <w:drawing>
          <wp:inline>
            <wp:extent cx="5334000" cy="2476500"/>
            <wp:effectExtent b="0" l="0" r="0" t="0"/>
            <wp:docPr descr="MTTR Trend — Impact of Observability" title="" id="29" name="Picture"/>
            <a:graphic>
              <a:graphicData uri="http://schemas.openxmlformats.org/drawingml/2006/picture">
                <pic:pic>
                  <pic:nvPicPr>
                    <pic:cNvPr descr="assets/charts/mttr-trend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MTTR Trend — Impact of Observability</w:t>
      </w:r>
    </w:p>
    <w:p>
      <w:pPr>
        <w:pStyle w:val="BlockText"/>
      </w:pPr>
      <w:r>
        <w:rPr>
          <w:b/>
          <w:bCs/>
        </w:rPr>
        <w:t xml:space="preserve">Trend:</w:t>
      </w:r>
      <w:r>
        <w:t xml:space="preserve"> </w:t>
      </w:r>
      <w:r>
        <w:t xml:space="preserve">MTTR dropped from 45 min → 11 min (-76%) since OTel rollout. Distributed tracing is the single biggest contributor — engineers now find root cause in the trace instead of grepping logs.</w:t>
      </w:r>
    </w:p>
    <w:bookmarkEnd w:id="31"/>
    <w:bookmarkEnd w:id="32"/>
    <w:bookmarkStart w:id="36" w:name="telemetry-cost"/>
    <w:p>
      <w:pPr>
        <w:pStyle w:val="Heading1"/>
      </w:pPr>
      <w:r>
        <w:t xml:space="preserve">4. Telemetry &amp; Cost</w:t>
      </w:r>
    </w:p>
    <w:bookmarkStart w:id="33" w:name="volume"/>
    <w:p>
      <w:pPr>
        <w:pStyle w:val="Heading3"/>
      </w:pPr>
      <w:r>
        <w:t xml:space="preserve">Volume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(active series)</w:t>
            </w:r>
          </w:p>
        </w:tc>
        <w:tc>
          <w:tcPr/>
          <w:p>
            <w:pPr>
              <w:pStyle w:val="Compact"/>
            </w:pPr>
            <w:r>
              <w:t xml:space="preserve">7,800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(GB/month)</w:t>
            </w:r>
          </w:p>
        </w:tc>
        <w:tc>
          <w:tcPr/>
          <w:p>
            <w:pPr>
              <w:pStyle w:val="Compact"/>
            </w:pPr>
            <w:r>
              <w:t xml:space="preserve">34 GB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+5% (new structured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Traces (GB/month)</w:t>
            </w:r>
          </w:p>
        </w:tc>
        <w:tc>
          <w:tcPr/>
          <w:p>
            <w:pPr>
              <w:pStyle w:val="Compact"/>
            </w:pPr>
            <w:r>
              <w:t xml:space="preserve">22 GB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 (sessions/month)</w:t>
            </w:r>
          </w:p>
        </w:tc>
        <w:tc>
          <w:tcPr/>
          <w:p>
            <w:pPr>
              <w:pStyle w:val="Compact"/>
            </w:pPr>
            <w:r>
              <w:t xml:space="preserve">38,200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+8% (traffic growth)</w:t>
            </w:r>
          </w:p>
        </w:tc>
      </w:tr>
    </w:tbl>
    <w:bookmarkEnd w:id="33"/>
    <w:bookmarkStart w:id="34" w:name="cost"/>
    <w:p>
      <w:pPr>
        <w:pStyle w:val="Heading3"/>
      </w:pPr>
      <w:r>
        <w:t xml:space="preserve">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This Month</w:t>
            </w:r>
          </w:p>
        </w:tc>
        <w:tc>
          <w:tcPr/>
          <w:p>
            <w:pPr>
              <w:pStyle w:val="Compact"/>
            </w:pPr>
            <w:r>
              <w:t xml:space="preserve">Last Month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Cloud</w:t>
            </w:r>
          </w:p>
        </w:tc>
        <w:tc>
          <w:tcPr/>
          <w:p>
            <w:pPr>
              <w:pStyle w:val="Compact"/>
            </w:pPr>
            <w:r>
              <w:t xml:space="preserve">$0 overage</w:t>
            </w:r>
          </w:p>
        </w:tc>
        <w:tc>
          <w:tcPr/>
          <w:p>
            <w:pPr>
              <w:pStyle w:val="Compact"/>
            </w:pPr>
            <w:r>
              <w:t xml:space="preserve">$0 overage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✅ Within</w:t>
            </w:r>
          </w:p>
        </w:tc>
      </w:tr>
    </w:tbl>
    <w:bookmarkEnd w:id="34"/>
    <w:bookmarkStart w:id="35" w:name="optimization-actions"/>
    <w:p>
      <w:pPr>
        <w:pStyle w:val="Heading3"/>
      </w:pPr>
      <w:r>
        <w:t xml:space="preserve">Optimization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Estimated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debug-level logs in production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-8 GB/mo (~24% reduction)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trace sampling for health checks</w:t>
            </w:r>
          </w:p>
        </w:tc>
        <w:tc>
          <w:tcPr/>
          <w:p>
            <w:pPr>
              <w:pStyle w:val="Compact"/>
            </w:pPr>
            <w:r>
              <w:t xml:space="preserve">Traces</w:t>
            </w:r>
          </w:p>
        </w:tc>
        <w:tc>
          <w:tcPr/>
          <w:p>
            <w:pPr>
              <w:pStyle w:val="Compact"/>
            </w:pPr>
            <w:r>
              <w:t xml:space="preserve">-3 GB/mo (~14% reduction)</w:t>
            </w:r>
          </w:p>
        </w:tc>
      </w:tr>
    </w:tbl>
    <w:bookmarkEnd w:id="35"/>
    <w:bookmarkEnd w:id="36"/>
    <w:bookmarkStart w:id="37" w:name="improvements-delivered"/>
    <w:p>
      <w:pPr>
        <w:pStyle w:val="Heading1"/>
      </w:pPr>
      <w:r>
        <w:t xml:space="preserve">5. Improvements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 dashboards live</w:t>
            </w:r>
          </w:p>
        </w:tc>
        <w:tc>
          <w:tcPr/>
          <w:p>
            <w:pPr>
              <w:pStyle w:val="Compact"/>
            </w:pPr>
            <w:r>
              <w:t xml:space="preserve">4 SLOs with burn-rate visualization</w:t>
            </w:r>
          </w:p>
        </w:tc>
        <w:tc>
          <w:tcPr/>
          <w:p>
            <w:pPr>
              <w:pStyle w:val="Compact"/>
            </w:pPr>
            <w:r>
              <w:t xml:space="preserve">Team can see reliability status at a glance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rotation active</w:t>
            </w:r>
          </w:p>
        </w:tc>
        <w:tc>
          <w:tcPr/>
          <w:p>
            <w:pPr>
              <w:pStyle w:val="Compact"/>
            </w:pPr>
            <w:r>
              <w:t xml:space="preserve">3-person weekly rotation via Grafana IRM</w:t>
            </w:r>
          </w:p>
        </w:tc>
        <w:tc>
          <w:tcPr/>
          <w:p>
            <w:pPr>
              <w:pStyle w:val="Compact"/>
            </w:pPr>
            <w:r>
              <w:t xml:space="preserve">Incidents routed to the right person in &lt;2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page launched</w:t>
            </w:r>
          </w:p>
        </w:tc>
        <w:tc>
          <w:tcPr/>
          <w:p>
            <w:pPr>
              <w:pStyle w:val="Compact"/>
            </w:pPr>
            <w:r>
              <w:t xml:space="preserve">status.novapay.com auto-updated</w:t>
            </w:r>
          </w:p>
        </w:tc>
        <w:tc>
          <w:tcPr/>
          <w:p>
            <w:pPr>
              <w:pStyle w:val="Compact"/>
            </w:pPr>
            <w:r>
              <w:t xml:space="preserve">Customers see incident status without contacting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tuning round 1</w:t>
            </w:r>
          </w:p>
        </w:tc>
        <w:tc>
          <w:tcPr/>
          <w:p>
            <w:pPr>
              <w:pStyle w:val="Compact"/>
            </w:pPr>
            <w:r>
              <w:t xml:space="preserve">Removed 5 noisy CloudWatch alarms, replaced with SLO-based alerts</w:t>
            </w:r>
          </w:p>
        </w:tc>
        <w:tc>
          <w:tcPr/>
          <w:p>
            <w:pPr>
              <w:pStyle w:val="Compact"/>
            </w:pPr>
            <w:r>
              <w:t xml:space="preserve">Noise ratio: 35% → 8%</w:t>
            </w:r>
          </w:p>
        </w:tc>
      </w:tr>
    </w:tbl>
    <w:bookmarkEnd w:id="37"/>
    <w:bookmarkStart w:id="38" w:name="recommendations-next-month"/>
    <w:p>
      <w:pPr>
        <w:pStyle w:val="Heading1"/>
      </w:pPr>
      <w:r>
        <w:t xml:space="preserve">6. Recommendations &amp; Next Month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SQS queue depth alert</w:t>
            </w:r>
          </w:p>
        </w:tc>
        <w:tc>
          <w:tcPr/>
          <w:p>
            <w:pPr>
              <w:pStyle w:val="Compact"/>
            </w:pPr>
            <w:r>
              <w:t xml:space="preserve">Catch settlement processing delays before they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Instrument Notification Service (last un-instrumented service)</w:t>
            </w:r>
          </w:p>
        </w:tc>
        <w:tc>
          <w:tcPr/>
          <w:p>
            <w:pPr>
              <w:pStyle w:val="Compact"/>
            </w:pPr>
            <w:r>
              <w:t xml:space="preserve">Complete end-to-end trace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 RDS replication lag alert</w:t>
            </w:r>
          </w:p>
        </w:tc>
        <w:tc>
          <w:tcPr/>
          <w:p>
            <w:pPr>
              <w:pStyle w:val="Compact"/>
            </w:pPr>
            <w:r>
              <w:t xml:space="preserve">Detect read replica drift before it impacts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Build runbook for top 3 incident types</w:t>
            </w:r>
          </w:p>
        </w:tc>
        <w:tc>
          <w:tcPr/>
          <w:p>
            <w:pPr>
              <w:pStyle w:val="Compact"/>
            </w:pPr>
            <w:r>
              <w:t xml:space="preserve">Reduce MTTR further by standardizing response</w:t>
            </w:r>
          </w:p>
        </w:tc>
      </w:tr>
    </w:tbl>
    <w:p>
      <w:pPr>
        <w:pStyle w:val="BodyText"/>
      </w:pPr>
      <w:r>
        <w:br/>
      </w:r>
    </w:p>
    <w:p>
      <w:pPr>
        <w:pStyle w:val="BlockText"/>
      </w:pPr>
      <w:r>
        <w:rPr>
          <w:b/>
          <w:bCs/>
        </w:rPr>
        <w:t xml:space="preserve">Grafana Dashboard:</w:t>
      </w:r>
      <w:r>
        <w:t xml:space="preserve"> </w:t>
      </w:r>
      <w:r>
        <w:t xml:space="preserve">https://novapay.grafana.net/d/obs-monthly</w:t>
      </w:r>
    </w:p>
    <w:p>
      <w:pPr>
        <w:pStyle w:val="BlockText"/>
      </w:pPr>
      <w:r>
        <w:t xml:space="preserve">Next report: April 2026 · hello@vantx.io · vantx.io</w:t>
      </w:r>
    </w:p>
    <w:bookmarkEnd w:id="38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28" Target="media/rId28.svg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Observability Report</dc:title>
  <dc:creator/>
  <cp:keywords/>
  <dcterms:created xsi:type="dcterms:W3CDTF">2026-03-22T22:19:32Z</dcterms:created>
  <dcterms:modified xsi:type="dcterms:W3CDTF">2026-03-22T22:19:32Z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NovaPay SpA — March 2026</vt:lpwstr>
  </property>
  <property fmtid="{D5CDD505-2E9C-101B-9397-08002B2CF9AE}" pid="4" name="version">
    <vt:lpwstr>1.0</vt:lpwstr>
  </property>
</Properties>
</file>