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svg" ContentType="image/svg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 Performance Report</w:t>
      </w:r>
    </w:p>
    <w:p>
      <w:pPr>
        <w:pStyle w:val="Subtitle"/>
      </w:pPr>
      <w:r>
        <w:t xml:space="preserve">NovaPay SpA — Week 12</w:t>
      </w:r>
    </w:p>
    <w:p>
      <w:pPr>
        <w:pStyle w:val="Date"/>
      </w:pPr>
      <w:r>
        <w:t xml:space="preserve">March 17–21,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weekly-performance-report"/>
    <w:p>
      <w:pPr>
        <w:pStyle w:val="Heading1"/>
      </w:pPr>
      <w:r>
        <w:t xml:space="preserve">WEEKLY PERFORMANCE REPORT</w:t>
      </w:r>
    </w:p>
    <w:p>
      <w:pPr>
        <w:pStyle w:val="FirstParagraph"/>
      </w:pPr>
      <w:r>
        <w:rPr>
          <w:b/>
          <w:bCs/>
        </w:rPr>
        <w:t xml:space="preserve">NovaPay SpA</w:t>
      </w:r>
      <w:r>
        <w:t xml:space="preserve"> </w:t>
      </w:r>
      <w:r>
        <w:t xml:space="preserve">· Week 12 · March 17–21, 2026</w:t>
      </w:r>
    </w:p>
    <w:p>
      <w:pPr>
        <w:pStyle w:val="BodyText"/>
      </w:pPr>
      <w:r>
        <w:t xml:space="preserve">VANTX · hello@vantx.io</w:t>
      </w:r>
    </w:p>
    <w:bookmarkEnd w:id="19"/>
    <w:bookmarkStart w:id="24" w:name="summary"/>
    <w:p>
      <w:pPr>
        <w:pStyle w:val="Heading1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Previous Week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99.92%</w:t>
            </w:r>
          </w:p>
        </w:tc>
        <w:tc>
          <w:tcPr/>
          <w:p>
            <w:pPr>
              <w:pStyle w:val="Compac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Response Time (p50)</w:t>
            </w:r>
          </w:p>
        </w:tc>
        <w:tc>
          <w:tcPr/>
          <w:p>
            <w:pPr>
              <w:pStyle w:val="Compact"/>
            </w:pPr>
            <w:r>
              <w:t xml:space="preserve">82ms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-13ms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210ms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-35ms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0.015%</w:t>
            </w:r>
          </w:p>
        </w:tc>
        <w:tc>
          <w:tcPr/>
          <w:p>
            <w:pPr>
              <w:pStyle w:val="Compact"/>
            </w:pPr>
            <w:r>
              <w:t xml:space="preserve">0.021%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Requests/day (avg)</w:t>
            </w:r>
          </w:p>
        </w:tc>
        <w:tc>
          <w:tcPr/>
          <w:p>
            <w:pPr>
              <w:pStyle w:val="Compact"/>
            </w:pPr>
            <w:r>
              <w:t xml:space="preserve">1.2M</w:t>
            </w:r>
          </w:p>
        </w:tc>
        <w:tc>
          <w:tcPr/>
          <w:p>
            <w:pPr>
              <w:pStyle w:val="Compact"/>
            </w:pPr>
            <w:r>
              <w:t xml:space="preserve">1.1M</w:t>
            </w:r>
          </w:p>
        </w:tc>
        <w:tc>
          <w:tcPr/>
          <w:p>
            <w:pPr>
              <w:pStyle w:val="Compact"/>
            </w:pPr>
            <w:r>
              <w:t xml:space="preserve">+9%</w:t>
            </w:r>
          </w:p>
        </w:tc>
      </w:tr>
    </w:tbl>
    <w:bookmarkStart w:id="23" w:name="status-all-systems-nominal"/>
    <w:p>
      <w:pPr>
        <w:pStyle w:val="Heading3"/>
      </w:pPr>
      <w:r>
        <w:t xml:space="preserve">Status: All systems nominal</w:t>
      </w:r>
    </w:p>
    <w:p>
      <w:pPr>
        <w:pStyle w:val="FirstParagraph"/>
      </w:pPr>
      <w:r>
        <w:t xml:space="preserve">Uptime exceeded target (99.9%). Response times improved following last week’s HikariCP tuning (F-01 fix deployed Monday). Error rate well below threshold. Traffic growing steadily — projected to hit 1.5M/day by April.</w:t>
      </w:r>
    </w:p>
    <w:p>
      <w:pPr>
        <w:pStyle w:val="CaptionedFigure"/>
      </w:pPr>
      <w:r>
        <w:drawing>
          <wp:inline>
            <wp:extent cx="5334000" cy="1524000"/>
            <wp:effectExtent b="0" l="0" r="0" t="0"/>
            <wp:docPr descr="Uptime — Week 12" title="" id="21" name="Picture"/>
            <a:graphic>
              <a:graphicData uri="http://schemas.openxmlformats.org/drawingml/2006/picture">
                <pic:pic>
                  <pic:nvPicPr>
                    <pic:cNvPr descr="assets/charts/uptime-weekly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Uptime — Week 12</w:t>
      </w:r>
    </w:p>
    <w:bookmarkEnd w:id="23"/>
    <w:bookmarkEnd w:id="24"/>
    <w:bookmarkStart w:id="26" w:name="uptime-availability"/>
    <w:p>
      <w:pPr>
        <w:pStyle w:val="Heading1"/>
      </w:pPr>
      <w:r>
        <w:t xml:space="preserve">Uptime &amp;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Avg Response</w:t>
            </w:r>
          </w:p>
        </w:tc>
        <w:tc>
          <w:tcPr/>
          <w:p>
            <w:pPr>
              <w:pStyle w:val="Compact"/>
            </w:pPr>
            <w:r>
              <w:t xml:space="preserve">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/api/payments</w:t>
            </w:r>
          </w:p>
        </w:tc>
        <w:tc>
          <w:tcPr/>
          <w:p>
            <w:pPr>
              <w:pStyle w:val="Compact"/>
            </w:pPr>
            <w:r>
              <w:t xml:space="preserve">99.98%</w:t>
            </w:r>
          </w:p>
        </w:tc>
        <w:tc>
          <w:tcPr/>
          <w:p>
            <w:pPr>
              <w:pStyle w:val="Compact"/>
            </w:pPr>
            <w:r>
              <w:t xml:space="preserve">78ms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/api/settlements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92ms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/api/merchants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110ms</w:t>
            </w:r>
          </w:p>
        </w:tc>
        <w:tc>
          <w:tcPr/>
          <w:p>
            <w:pPr>
              <w:pStyle w:val="Compact"/>
            </w:pPr>
            <w:r>
              <w:t xml:space="preserve">1 (planned)</w:t>
            </w:r>
          </w:p>
        </w:tc>
      </w:tr>
    </w:tbl>
    <w:bookmarkStart w:id="25" w:name="downtime-events"/>
    <w:p>
      <w:pPr>
        <w:pStyle w:val="Heading3"/>
      </w:pPr>
      <w:r>
        <w:t xml:space="preserve">Downtime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19 02:15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Planned deploy v2.14.3 (rolling restart)</w:t>
            </w:r>
          </w:p>
        </w:tc>
      </w:tr>
    </w:tbl>
    <w:bookmarkEnd w:id="25"/>
    <w:bookmarkEnd w:id="26"/>
    <w:bookmarkStart w:id="27" w:name="synthetic-monitoring"/>
    <w:p>
      <w:pPr>
        <w:pStyle w:val="Heading1"/>
      </w:pPr>
      <w:r>
        <w:t xml:space="preserve">Synthetic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→ Dashboard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680ms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Payment</w:t>
            </w:r>
          </w:p>
        </w:tc>
        <w:tc>
          <w:tcPr/>
          <w:p>
            <w:pPr>
              <w:pStyle w:val="Compact"/>
            </w:pPr>
            <w:r>
              <w:t xml:space="preserve">310ms</w:t>
            </w:r>
          </w:p>
        </w:tc>
        <w:tc>
          <w:tcPr/>
          <w:p>
            <w:pPr>
              <w:pStyle w:val="Compact"/>
            </w:pPr>
            <w:r>
              <w:t xml:space="preserve">520ms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Export</w:t>
            </w:r>
          </w:p>
        </w:tc>
        <w:tc>
          <w:tcPr/>
          <w:p>
            <w:pPr>
              <w:pStyle w:val="Compact"/>
            </w:pPr>
            <w:r>
              <w:t xml:space="preserve">890ms</w:t>
            </w:r>
          </w:p>
        </w:tc>
        <w:tc>
          <w:tcPr/>
          <w:p>
            <w:pPr>
              <w:pStyle w:val="Compact"/>
            </w:pPr>
            <w:r>
              <w:t xml:space="preserve">1,400ms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(guest)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980ms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7"/>
    <w:bookmarkStart w:id="28" w:name="web-performance-lighthouse-ci"/>
    <w:p>
      <w:pPr>
        <w:pStyle w:val="Heading1"/>
      </w:pPr>
      <w:r>
        <w:t xml:space="preserve">Web Performance (Lighthouse 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vs Last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1.9s</w:t>
            </w:r>
          </w:p>
        </w:tc>
        <w:tc>
          <w:tcPr/>
          <w:p>
            <w:pPr>
              <w:pStyle w:val="Compact"/>
            </w:pPr>
            <w:r>
              <w:t xml:space="preserve">78ms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74/100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  <w:tc>
          <w:tcPr/>
          <w:p>
            <w:pPr>
              <w:pStyle w:val="Compact"/>
            </w:pPr>
            <w:r>
              <w:t xml:space="preserve">110ms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58/100</w:t>
            </w:r>
          </w:p>
        </w:tc>
        <w:tc>
          <w:tcPr/>
          <w:p>
            <w:pPr>
              <w:pStyle w:val="Compact"/>
            </w:pPr>
            <w:r>
              <w:t xml:space="preserve">+16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2.6s</w:t>
            </w:r>
          </w:p>
        </w:tc>
        <w:tc>
          <w:tcPr/>
          <w:p>
            <w:pPr>
              <w:pStyle w:val="Compact"/>
            </w:pPr>
            <w:r>
              <w:t xml:space="preserve">88ms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62/100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</w:tr>
    </w:tbl>
    <w:bookmarkEnd w:id="28"/>
    <w:bookmarkStart w:id="29" w:name="rum-real-user-monitoring"/>
    <w:p>
      <w:pPr>
        <w:pStyle w:val="Heading1"/>
      </w:pPr>
      <w:r>
        <w:t xml:space="preserve">RUM — Real User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 (week)</w:t>
            </w:r>
          </w:p>
        </w:tc>
        <w:tc>
          <w:tcPr/>
          <w:p>
            <w:pPr>
              <w:pStyle w:val="Compact"/>
            </w:pPr>
            <w:r>
              <w:t xml:space="preserve">38,200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(p75, real users)</w:t>
            </w:r>
          </w:p>
        </w:tc>
        <w:tc>
          <w:tcPr/>
          <w:p>
            <w:pPr>
              <w:pStyle w:val="Compact"/>
            </w:pPr>
            <w:r>
              <w:t xml:space="preserve">2.3s</w:t>
            </w:r>
          </w:p>
        </w:tc>
        <w:tc>
          <w:tcPr/>
          <w:p>
            <w:pPr>
              <w:pStyle w:val="Compact"/>
            </w:pPr>
            <w:r>
              <w:t xml:space="preserve">&lt;2.5s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(p75, real users)</w:t>
            </w:r>
          </w:p>
        </w:tc>
        <w:tc>
          <w:tcPr/>
          <w:p>
            <w:pPr>
              <w:pStyle w:val="Compact"/>
            </w:pPr>
            <w:r>
              <w:t xml:space="preserve">165ms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(p75, real users)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&lt;0.1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Errors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&lt;200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9"/>
    <w:bookmarkStart w:id="30" w:name="findings-actions"/>
    <w:p>
      <w:pPr>
        <w:pStyle w:val="Heading1"/>
      </w:pPr>
      <w:r>
        <w:t xml:space="preserve">Findings &amp;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Checkout LCP still 2.8s (lab), improved from 4.2s</w:t>
            </w:r>
          </w:p>
        </w:tc>
        <w:tc>
          <w:tcPr/>
          <w:p>
            <w:pPr>
              <w:pStyle w:val="Compact"/>
            </w:pPr>
            <w:r>
              <w:t xml:space="preserve">Continue JS deferral work; hero image WebP done</w:t>
            </w:r>
          </w:p>
        </w:tc>
        <w:tc>
          <w:tcPr/>
          <w:p>
            <w:pPr>
              <w:pStyle w:val="Compact"/>
            </w:pPr>
            <w:r>
              <w:t xml:space="preserve">NovaPay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Settlement export p95 approaching 1.5s</w:t>
            </w:r>
          </w:p>
        </w:tc>
        <w:tc>
          <w:tcPr/>
          <w:p>
            <w:pPr>
              <w:pStyle w:val="Compact"/>
            </w:pPr>
            <w:r>
              <w:t xml:space="preserve">Monitor — if sustained, add pagination to batch query</w:t>
            </w:r>
          </w:p>
        </w:tc>
        <w:tc>
          <w:tcPr/>
          <w:p>
            <w:pPr>
              <w:pStyle w:val="Compact"/>
            </w:pPr>
            <w:r>
              <w:t xml:space="preserve">VANTX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Grafana Dashboard:</w:t>
      </w:r>
      <w:r>
        <w:t xml:space="preserve"> </w:t>
      </w:r>
      <w:r>
        <w:t xml:space="preserve">https://novapay.grafana.net/d/perf-weekly</w:t>
      </w:r>
    </w:p>
    <w:p>
      <w:pPr>
        <w:pStyle w:val="BlockText"/>
      </w:pPr>
      <w:r>
        <w:t xml:space="preserve">Next report: March 28 · hello@vantx.io · vantx.io</w:t>
      </w:r>
    </w:p>
    <w:bookmarkEnd w:id="30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20" Target="media/rId20.svg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Performance Report</dc:title>
  <dc:creator/>
  <cp:keywords/>
  <dcterms:created xsi:type="dcterms:W3CDTF">2026-03-22T22:19:37Z</dcterms:created>
  <dcterms:modified xsi:type="dcterms:W3CDTF">2026-03-22T22:19:37Z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17–21, 2026</vt:lpwstr>
  </property>
  <property fmtid="{D5CDD505-2E9C-101B-9397-08002B2CF9AE}" pid="3" name="subtitle">
    <vt:lpwstr>NovaPay SpA — Week 12</vt:lpwstr>
  </property>
  <property fmtid="{D5CDD505-2E9C-101B-9397-08002B2CF9AE}" pid="4" name="version">
    <vt:lpwstr>1.0</vt:lpwstr>
  </property>
</Properties>
</file>