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6.svg" ContentType="image/svg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Fractional SRE — Monthly Report</w:t>
      </w:r>
    </w:p>
    <w:p>
      <w:pPr>
        <w:pStyle w:val="Subtitle"/>
      </w:pPr>
      <w:r>
        <w:t xml:space="preserve">NovaPay SpA — March 2026</w:t>
      </w:r>
    </w:p>
    <w:p>
      <w:pPr>
        <w:pStyle w:val="Date"/>
      </w:pPr>
      <w:r>
        <w:t xml:space="preserve">March 2026</w:t>
      </w:r>
    </w:p>
    <w:p>
      <w:pPr>
        <w:pStyle w:val="FirstParagraph"/>
      </w:pPr>
      <w:r>
        <w:drawing>
          <wp:inline>
            <wp:extent cx="1874520" cy="42645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log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42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Start w:id="19" w:name="fractional-sre-monthly-report"/>
    <w:p>
      <w:pPr>
        <w:pStyle w:val="Heading1"/>
      </w:pPr>
      <w:r>
        <w:t xml:space="preserve">FRACTIONAL SRE — MONTHLY REPORT</w:t>
      </w:r>
    </w:p>
    <w:p>
      <w:pPr>
        <w:pStyle w:val="FirstParagraph"/>
      </w:pPr>
      <w:r>
        <w:rPr>
          <w:b/>
          <w:bCs/>
        </w:rPr>
        <w:t xml:space="preserve">NovaPay SpA</w:t>
      </w:r>
      <w:r>
        <w:t xml:space="preserve"> </w:t>
      </w:r>
      <w:r>
        <w:t xml:space="preserve">· March 2026</w:t>
      </w:r>
    </w:p>
    <w:p>
      <w:pPr>
        <w:pStyle w:val="BodyText"/>
      </w:pPr>
      <w:r>
        <w:t xml:space="preserve">VANTX · hello@vantx.io</w:t>
      </w:r>
    </w:p>
    <w:bookmarkEnd w:id="19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Month 3 of the Fractional SRE engagement. Focus areas this month: completing the incident response framework, running the first chaos engineering experiment, and mentoring two engineers on SRE practices. The team successfully ran their first on-call rotation without escalation. SRE maturity score improved from 2.0 to 2.6/5.</w:t>
      </w:r>
    </w:p>
    <w:bookmarkStart w:id="20" w:name="engagement-health"/>
    <w:p>
      <w:pPr>
        <w:pStyle w:val="Heading3"/>
      </w:pPr>
      <w:r>
        <w:t xml:space="preserve">Engagement Health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3 of engagement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 completed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via Linear 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turnaround</w:t>
            </w:r>
          </w:p>
        </w:tc>
        <w:tc>
          <w:tcPr/>
          <w:p>
            <w:pPr>
              <w:pStyle w:val="Compact"/>
            </w:pPr>
            <w:r>
              <w:t xml:space="preserve">36h</w:t>
            </w:r>
          </w:p>
        </w:tc>
        <w:tc>
          <w:tcPr/>
          <w:p>
            <w:pPr>
              <w:pStyle w:val="Compact"/>
            </w:pPr>
            <w:r>
              <w:t xml:space="preserve">target: 48h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SRE maturity score</w:t>
            </w:r>
          </w:p>
        </w:tc>
        <w:tc>
          <w:tcPr/>
          <w:p>
            <w:pPr>
              <w:pStyle w:val="Compact"/>
            </w:pPr>
            <w:r>
              <w:t xml:space="preserve">2.6/5</w:t>
            </w:r>
          </w:p>
        </w:tc>
        <w:tc>
          <w:tcPr/>
          <w:p>
            <w:pPr>
              <w:pStyle w:val="Compact"/>
            </w:pPr>
            <w:r>
              <w:t xml:space="preserve">vs 2.0/5 last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incidents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0"/>
    <w:bookmarkEnd w:id="21"/>
    <w:bookmarkStart w:id="25" w:name="reliability-status"/>
    <w:p>
      <w:pPr>
        <w:pStyle w:val="Heading1"/>
      </w:pPr>
      <w:r>
        <w:t xml:space="preserve">1. Reliability Status</w:t>
      </w:r>
    </w:p>
    <w:bookmarkStart w:id="22" w:name="slo-dashboard"/>
    <w:p>
      <w:pPr>
        <w:pStyle w:val="Heading3"/>
      </w:pPr>
      <w:r>
        <w:t xml:space="preserve">SLO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SLI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API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99.97%</w:t>
            </w:r>
          </w:p>
        </w:tc>
        <w:tc>
          <w:tcPr/>
          <w:p>
            <w:pPr>
              <w:pStyle w:val="Compact"/>
            </w:pPr>
            <w:r>
              <w:t xml:space="preserve">91% remaining</w:t>
            </w:r>
          </w:p>
        </w:tc>
        <w:tc>
          <w:tcPr/>
          <w:p>
            <w:pPr>
              <w:pStyle w:val="Compact"/>
            </w:pPr>
            <w:r>
              <w:t xml:space="preserve">✅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API</w:t>
            </w:r>
          </w:p>
        </w:tc>
        <w:tc>
          <w:tcPr/>
          <w:p>
            <w:pPr>
              <w:pStyle w:val="Compact"/>
            </w:pPr>
            <w:r>
              <w:t xml:space="preserve">p95 &lt; 500ms</w:t>
            </w:r>
          </w:p>
        </w:tc>
        <w:tc>
          <w:tcPr/>
          <w:p>
            <w:pPr>
              <w:pStyle w:val="Compact"/>
            </w:pPr>
            <w:r>
              <w:t xml:space="preserve">99.0%</w:t>
            </w:r>
          </w:p>
        </w:tc>
        <w:tc>
          <w:tcPr/>
          <w:p>
            <w:pPr>
              <w:pStyle w:val="Compact"/>
            </w:pPr>
            <w:r>
              <w:t xml:space="preserve">99.6%</w:t>
            </w:r>
          </w:p>
        </w:tc>
        <w:tc>
          <w:tcPr/>
          <w:p>
            <w:pPr>
              <w:pStyle w:val="Compact"/>
            </w:pPr>
            <w:r>
              <w:t xml:space="preserve">82% remaining</w:t>
            </w:r>
          </w:p>
        </w:tc>
        <w:tc>
          <w:tcPr/>
          <w:p>
            <w:pPr>
              <w:pStyle w:val="Compact"/>
            </w:pPr>
            <w:r>
              <w:t xml:space="preserve">✅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LCP p75 &lt; 2.5s</w:t>
            </w:r>
          </w:p>
        </w:tc>
        <w:tc>
          <w:tcPr/>
          <w:p>
            <w:pPr>
              <w:pStyle w:val="Compact"/>
            </w:pPr>
            <w:r>
              <w:t xml:space="preserve">95.0%</w:t>
            </w:r>
          </w:p>
        </w:tc>
        <w:tc>
          <w:tcPr/>
          <w:p>
            <w:pPr>
              <w:pStyle w:val="Compact"/>
            </w:pPr>
            <w:r>
              <w:t xml:space="preserve">96.2%</w:t>
            </w:r>
          </w:p>
        </w:tc>
        <w:tc>
          <w:tcPr/>
          <w:p>
            <w:pPr>
              <w:pStyle w:val="Compact"/>
            </w:pPr>
            <w:r>
              <w:t xml:space="preserve">74% remaining</w:t>
            </w:r>
          </w:p>
        </w:tc>
        <w:tc>
          <w:tcPr/>
          <w:p>
            <w:pPr>
              <w:pStyle w:val="Compact"/>
            </w:pPr>
            <w:r>
              <w:t xml:space="preserve">✅ 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</w:t>
            </w:r>
          </w:p>
        </w:tc>
        <w:tc>
          <w:tcPr/>
          <w:p>
            <w:pPr>
              <w:pStyle w:val="Compact"/>
            </w:pPr>
            <w:r>
              <w:t xml:space="preserve">Batch &lt; 30min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  <w:tc>
          <w:tcPr/>
          <w:p>
            <w:pPr>
              <w:pStyle w:val="Compact"/>
            </w:pPr>
            <w:r>
              <w:t xml:space="preserve">84% remaining</w:t>
            </w:r>
          </w:p>
        </w:tc>
        <w:tc>
          <w:tcPr/>
          <w:p>
            <w:pPr>
              <w:pStyle w:val="Compact"/>
            </w:pPr>
            <w:r>
              <w:t xml:space="preserve">✅ Healthy</w:t>
            </w:r>
          </w:p>
        </w:tc>
      </w:tr>
    </w:tbl>
    <w:bookmarkEnd w:id="22"/>
    <w:bookmarkStart w:id="23" w:name="incident-summary"/>
    <w:p>
      <w:pPr>
        <w:pStyle w:val="Heading3"/>
      </w:pPr>
      <w:r>
        <w:t xml:space="preserve">Incident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MTTD</w:t>
            </w:r>
          </w:p>
        </w:tc>
        <w:tc>
          <w:tcPr/>
          <w:p>
            <w:pPr>
              <w:pStyle w:val="Compact"/>
            </w:pPr>
            <w:r>
              <w:t xml:space="preserve">MTTR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CDN cache invalidation during deploy</w:t>
            </w:r>
          </w:p>
        </w:tc>
        <w:tc>
          <w:tcPr/>
          <w:p>
            <w:pPr>
              <w:pStyle w:val="Compact"/>
            </w:pPr>
            <w:r>
              <w:t xml:space="preserve">1.5 min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Resolved + post-mortem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12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Large batch settlement timeout</w:t>
            </w:r>
          </w:p>
        </w:tc>
        <w:tc>
          <w:tcPr/>
          <w:p>
            <w:pPr>
              <w:pStyle w:val="Compact"/>
            </w:pPr>
            <w:r>
              <w:t xml:space="preserve">2.1 min</w:t>
            </w:r>
          </w:p>
        </w:tc>
        <w:tc>
          <w:tcPr/>
          <w:p>
            <w:pPr>
              <w:pStyle w:val="Compact"/>
            </w:pPr>
            <w:r>
              <w:t xml:space="preserve">22 min</w:t>
            </w:r>
          </w:p>
        </w:tc>
        <w:tc>
          <w:tcPr/>
          <w:p>
            <w:pPr>
              <w:pStyle w:val="Compact"/>
            </w:pPr>
            <w:r>
              <w:t xml:space="preserve">Resolved + post-mortem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 19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Planned deploy brief 503</w:t>
            </w:r>
          </w:p>
        </w:tc>
        <w:tc>
          <w:tcPr/>
          <w:p>
            <w:pPr>
              <w:pStyle w:val="Compact"/>
            </w:pPr>
            <w:r>
              <w:t xml:space="preserve">0.5 min</w:t>
            </w: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</w:tbl>
    <w:bookmarkEnd w:id="23"/>
    <w:bookmarkStart w:id="24" w:name="on-call-health"/>
    <w:p>
      <w:pPr>
        <w:pStyle w:val="Heading3"/>
      </w:pPr>
      <w:r>
        <w:t xml:space="preserve">On-Call Health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 received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Actionable %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  <w:tc>
          <w:tcPr/>
          <w:p>
            <w:pPr>
              <w:pStyle w:val="Compact"/>
            </w:pPr>
            <w:r>
              <w:t xml:space="preserve">&gt;90%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acknowledge time</w:t>
            </w:r>
          </w:p>
        </w:tc>
        <w:tc>
          <w:tcPr/>
          <w:p>
            <w:pPr>
              <w:pStyle w:val="Compact"/>
            </w:pPr>
            <w:r>
              <w:t xml:space="preserve">3.2 min</w:t>
            </w:r>
          </w:p>
        </w:tc>
        <w:tc>
          <w:tcPr/>
          <w:p>
            <w:pPr>
              <w:pStyle w:val="Compact"/>
            </w:pPr>
            <w:r>
              <w:t xml:space="preserve">&lt;5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4"/>
    <w:bookmarkEnd w:id="25"/>
    <w:bookmarkStart w:id="28" w:name="work-completed"/>
    <w:p>
      <w:pPr>
        <w:pStyle w:val="Heading1"/>
      </w:pPr>
      <w:r>
        <w:t xml:space="preserve">2. Work Completed</w:t>
      </w:r>
    </w:p>
    <w:bookmarkStart w:id="26" w:name="board-requests"/>
    <w:p>
      <w:pPr>
        <w:pStyle w:val="Heading3"/>
      </w:pPr>
      <w:r>
        <w:t xml:space="preserve">Board Requests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Turnaround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Define error budget policy document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Grafana IRM on-call rotation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runbook: payment API degradation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runbook: settlement batch failure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deployment pipeline for reliability gaps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chaos experiment: kill Payment Service task</w:t>
            </w:r>
          </w:p>
        </w:tc>
        <w:tc>
          <w:tcPr/>
          <w:p>
            <w:pPr>
              <w:pStyle w:val="Compact"/>
            </w:pPr>
            <w:r>
              <w:t xml:space="preserve">Chaos engineering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Mentor session: SLOs with Carlos and Marta</w:t>
            </w:r>
          </w:p>
        </w:tc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PR: circuit breaker for settlement→payment calls</w:t>
            </w:r>
          </w:p>
        </w:tc>
        <w:tc>
          <w:tcPr/>
          <w:p>
            <w:pPr>
              <w:pStyle w:val="Compact"/>
            </w:pPr>
            <w:r>
              <w:t xml:space="preserve">Code review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</w:tr>
    </w:tbl>
    <w:bookmarkEnd w:id="26"/>
    <w:bookmarkStart w:id="27" w:name="initiatives-projects"/>
    <w:p>
      <w:pPr>
        <w:pStyle w:val="Heading3"/>
      </w:pPr>
      <w:r>
        <w:t xml:space="preserve">Initiatives &amp; Projects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Initiative</w:t>
            </w:r>
          </w:p>
        </w:tc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 framework</w:t>
            </w:r>
          </w:p>
        </w:tc>
        <w:tc>
          <w:tcPr/>
          <w:p>
            <w:pPr>
              <w:pStyle w:val="Compact"/>
            </w:pPr>
            <w:r>
              <w:t xml:space="preserve">90% complete</w:t>
            </w:r>
          </w:p>
        </w:tc>
        <w:tc>
          <w:tcPr/>
          <w:p>
            <w:pPr>
              <w:pStyle w:val="Compact"/>
            </w:pPr>
            <w:r>
              <w:t xml:space="preserve">Runbooks for top 3 scenarios done. Status page live. Remaining: escalation drill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Chaos engineering program</w:t>
            </w:r>
          </w:p>
        </w:tc>
        <w:tc>
          <w:tcPr/>
          <w:p>
            <w:pPr>
              <w:pStyle w:val="Compact"/>
            </w:pPr>
            <w:r>
              <w:t xml:space="preserve">20% started</w:t>
            </w:r>
          </w:p>
        </w:tc>
        <w:tc>
          <w:tcPr/>
          <w:p>
            <w:pPr>
              <w:pStyle w:val="Compact"/>
            </w:pPr>
            <w:r>
              <w:t xml:space="preserve">First experiment successful (ECS task kill). Next: Redis failover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On-call readiness</w:t>
            </w:r>
          </w:p>
        </w:tc>
        <w:tc>
          <w:tcPr/>
          <w:p>
            <w:pPr>
              <w:pStyle w:val="Compact"/>
            </w:pPr>
            <w:r>
              <w:t xml:space="preserve">75% complete</w:t>
            </w:r>
          </w:p>
        </w:tc>
        <w:tc>
          <w:tcPr/>
          <w:p>
            <w:pPr>
              <w:pStyle w:val="Compact"/>
            </w:pPr>
            <w:r>
              <w:t xml:space="preserve">3 engineers trained, rotation active. Need 2 more engineers for sustainable rotation</w:t>
            </w:r>
          </w:p>
        </w:tc>
      </w:tr>
    </w:tbl>
    <w:bookmarkEnd w:id="27"/>
    <w:bookmarkEnd w:id="28"/>
    <w:bookmarkStart w:id="31" w:name="post-mortems"/>
    <w:p>
      <w:pPr>
        <w:pStyle w:val="Heading1"/>
      </w:pPr>
      <w:r>
        <w:t xml:space="preserve">3. Post-Mortems</w:t>
      </w:r>
    </w:p>
    <w:bookmarkStart w:id="29" w:name="completed-this-month"/>
    <w:p>
      <w:pPr>
        <w:pStyle w:val="Heading3"/>
      </w:pPr>
      <w:r>
        <w:t xml:space="preserve">Completed This Month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Action Items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cache invalidation</w:t>
            </w:r>
          </w:p>
        </w:tc>
        <w:tc>
          <w:tcPr/>
          <w:p>
            <w:pPr>
              <w:pStyle w:val="Compact"/>
            </w:pPr>
            <w:r>
              <w:t xml:space="preserve">Mar 5</w:t>
            </w:r>
          </w:p>
        </w:tc>
        <w:tc>
          <w:tcPr/>
          <w:p>
            <w:pPr>
              <w:pStyle w:val="Compact"/>
            </w:pPr>
            <w:r>
              <w:t xml:space="preserve">CloudFront invalidation triggered during deploy flushes cache for all objects</w:t>
            </w:r>
          </w:p>
        </w:tc>
        <w:tc>
          <w:tcPr/>
          <w:p>
            <w:pPr>
              <w:pStyle w:val="Compact"/>
            </w:pPr>
            <w:r>
              <w:t xml:space="preserve">2 items</w:t>
            </w:r>
          </w:p>
        </w:tc>
        <w:tc>
          <w:tcPr/>
          <w:p>
            <w:pPr>
              <w:pStyle w:val="Compact"/>
            </w:pPr>
            <w:r>
              <w:t xml:space="preserve">1/2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batch timeout</w:t>
            </w:r>
          </w:p>
        </w:tc>
        <w:tc>
          <w:tcPr/>
          <w:p>
            <w:pPr>
              <w:pStyle w:val="Compact"/>
            </w:pPr>
            <w:r>
              <w:t xml:space="preserve">Mar 12</w:t>
            </w:r>
          </w:p>
        </w:tc>
        <w:tc>
          <w:tcPr/>
          <w:p>
            <w:pPr>
              <w:pStyle w:val="Compact"/>
            </w:pPr>
            <w:r>
              <w:t xml:space="preserve">No query limit on batch endpoint; 120K row query exceeded 30s timeout</w:t>
            </w:r>
          </w:p>
        </w:tc>
        <w:tc>
          <w:tcPr/>
          <w:p>
            <w:pPr>
              <w:pStyle w:val="Compact"/>
            </w:pPr>
            <w:r>
              <w:t xml:space="preserve">3 items</w:t>
            </w:r>
          </w:p>
        </w:tc>
        <w:tc>
          <w:tcPr/>
          <w:p>
            <w:pPr>
              <w:pStyle w:val="Compact"/>
            </w:pPr>
            <w:r>
              <w:t xml:space="preserve">2/3 done</w:t>
            </w:r>
          </w:p>
        </w:tc>
      </w:tr>
    </w:tbl>
    <w:bookmarkEnd w:id="29"/>
    <w:bookmarkStart w:id="30" w:name="open-action-items-all-post-mortems"/>
    <w:p>
      <w:pPr>
        <w:pStyle w:val="Heading3"/>
      </w:pPr>
      <w:r>
        <w:t xml:space="preserve">Open Action Items (all post-mortems)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 selective CDN invalidation (path-based)</w:t>
            </w:r>
          </w:p>
        </w:tc>
        <w:tc>
          <w:tcPr/>
          <w:p>
            <w:pPr>
              <w:pStyle w:val="Compact"/>
            </w:pPr>
            <w:r>
              <w:t xml:space="preserve">Mar 5 incident</w:t>
            </w:r>
          </w:p>
        </w:tc>
        <w:tc>
          <w:tcPr/>
          <w:p>
            <w:pPr>
              <w:pStyle w:val="Compact"/>
            </w:pPr>
            <w:r>
              <w:t xml:space="preserve">DevOps (Javier)</w:t>
            </w:r>
          </w:p>
        </w:tc>
        <w:tc>
          <w:tcPr/>
          <w:p>
            <w:pPr>
              <w:pStyle w:val="Compact"/>
            </w:pPr>
            <w:r>
              <w:t xml:space="preserve">Mar 28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pagination to settlement export API</w:t>
            </w:r>
          </w:p>
        </w:tc>
        <w:tc>
          <w:tcPr/>
          <w:p>
            <w:pPr>
              <w:pStyle w:val="Compact"/>
            </w:pPr>
            <w:r>
              <w:t xml:space="preserve">Mar 12 incident</w:t>
            </w:r>
          </w:p>
        </w:tc>
        <w:tc>
          <w:tcPr/>
          <w:p>
            <w:pPr>
              <w:pStyle w:val="Compact"/>
            </w:pPr>
            <w:r>
              <w:t xml:space="preserve">Backend (Carlos)</w:t>
            </w:r>
          </w:p>
        </w:tc>
        <w:tc>
          <w:tcPr/>
          <w:p>
            <w:pPr>
              <w:pStyle w:val="Compact"/>
            </w:pPr>
            <w:r>
              <w:t xml:space="preserve">Mar 21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query timeout alert (&gt;10s queries)</w:t>
            </w:r>
          </w:p>
        </w:tc>
        <w:tc>
          <w:tcPr/>
          <w:p>
            <w:pPr>
              <w:pStyle w:val="Compact"/>
            </w:pPr>
            <w:r>
              <w:t xml:space="preserve">Mar 12 incident</w:t>
            </w:r>
          </w:p>
        </w:tc>
        <w:tc>
          <w:tcPr/>
          <w:p>
            <w:pPr>
              <w:pStyle w:val="Compact"/>
            </w:pPr>
            <w:r>
              <w:t xml:space="preserve">VANTX SRE</w:t>
            </w:r>
          </w:p>
        </w:tc>
        <w:tc>
          <w:tcPr/>
          <w:p>
            <w:pPr>
              <w:pStyle w:val="Compact"/>
            </w:pPr>
            <w:r>
              <w:t xml:space="preserve">Mar 25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test settlement export with 200K+ rows</w:t>
            </w:r>
          </w:p>
        </w:tc>
        <w:tc>
          <w:tcPr/>
          <w:p>
            <w:pPr>
              <w:pStyle w:val="Compact"/>
            </w:pPr>
            <w:r>
              <w:t xml:space="preserve">Mar 12 incident</w:t>
            </w:r>
          </w:p>
        </w:tc>
        <w:tc>
          <w:tcPr/>
          <w:p>
            <w:pPr>
              <w:pStyle w:val="Compact"/>
            </w:pPr>
            <w:r>
              <w:t xml:space="preserve">VANTX SRE</w:t>
            </w:r>
          </w:p>
        </w:tc>
        <w:tc>
          <w:tcPr/>
          <w:p>
            <w:pPr>
              <w:pStyle w:val="Compact"/>
            </w:pPr>
            <w:r>
              <w:t xml:space="preserve">Apr 4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bookmarkEnd w:id="30"/>
    <w:bookmarkEnd w:id="31"/>
    <w:bookmarkStart w:id="34" w:name="capacity-architecture"/>
    <w:p>
      <w:pPr>
        <w:pStyle w:val="Heading1"/>
      </w:pPr>
      <w:r>
        <w:t xml:space="preserve">4. Capacity &amp; Architecture</w:t>
      </w:r>
    </w:p>
    <w:bookmarkStart w:id="32" w:name="capacity-status"/>
    <w:p>
      <w:pPr>
        <w:pStyle w:val="Heading3"/>
      </w:pPr>
      <w:r>
        <w:t xml:space="preserve">Capacity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Current Usage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Headroom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 Payment tasks</w:t>
            </w:r>
          </w:p>
        </w:tc>
        <w:tc>
          <w:tcPr/>
          <w:p>
            <w:pPr>
              <w:pStyle w:val="Compact"/>
            </w:pPr>
            <w:r>
              <w:t xml:space="preserve">4/6 avg (auto-scale)</w:t>
            </w:r>
          </w:p>
        </w:tc>
        <w:tc>
          <w:tcPr/>
          <w:p>
            <w:pPr>
              <w:pStyle w:val="Compact"/>
            </w:pPr>
            <w:r>
              <w:t xml:space="preserve">12 max</w:t>
            </w:r>
          </w:p>
        </w:tc>
        <w:tc>
          <w:tcPr/>
          <w:p>
            <w:pPr>
              <w:pStyle w:val="Compact"/>
            </w:pPr>
            <w:r>
              <w:t xml:space="preserve">3x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ECS Settlement tasks</w:t>
            </w:r>
          </w:p>
        </w:tc>
        <w:tc>
          <w:tcPr/>
          <w:p>
            <w:pPr>
              <w:pStyle w:val="Compact"/>
            </w:pPr>
            <w:r>
              <w:t xml:space="preserve">3/4 avg</w:t>
            </w:r>
          </w:p>
        </w:tc>
        <w:tc>
          <w:tcPr/>
          <w:p>
            <w:pPr>
              <w:pStyle w:val="Compact"/>
            </w:pPr>
            <w:r>
              <w:t xml:space="preserve">8 max</w:t>
            </w:r>
          </w:p>
        </w:tc>
        <w:tc>
          <w:tcPr/>
          <w:p>
            <w:pPr>
              <w:pStyle w:val="Compact"/>
            </w:pPr>
            <w:r>
              <w:t xml:space="preserve">2.7x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connections</w:t>
            </w:r>
          </w:p>
        </w:tc>
        <w:tc>
          <w:tcPr/>
          <w:p>
            <w:pPr>
              <w:pStyle w:val="Compact"/>
            </w:pPr>
            <w:r>
              <w:t xml:space="preserve">24/30 (HikariCP)</w:t>
            </w:r>
          </w:p>
        </w:tc>
        <w:tc>
          <w:tcPr/>
          <w:p>
            <w:pPr>
              <w:pStyle w:val="Compact"/>
            </w:pPr>
            <w:r>
              <w:t xml:space="preserve">150 (RDS max)</w:t>
            </w:r>
          </w:p>
        </w:tc>
        <w:tc>
          <w:tcPr/>
          <w:p>
            <w:pPr>
              <w:pStyle w:val="Compact"/>
            </w:pPr>
            <w:r>
              <w:t xml:space="preserve">6.3x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memory</w:t>
            </w:r>
          </w:p>
        </w:tc>
        <w:tc>
          <w:tcPr/>
          <w:p>
            <w:pPr>
              <w:pStyle w:val="Compact"/>
            </w:pPr>
            <w:r>
              <w:t xml:space="preserve">2.1 GB</w:t>
            </w:r>
          </w:p>
        </w:tc>
        <w:tc>
          <w:tcPr/>
          <w:p>
            <w:pPr>
              <w:pStyle w:val="Compact"/>
            </w:pPr>
            <w:r>
              <w:t xml:space="preserve">6.4 GB</w:t>
            </w:r>
          </w:p>
        </w:tc>
        <w:tc>
          <w:tcPr/>
          <w:p>
            <w:pPr>
              <w:pStyle w:val="Compact"/>
            </w:pPr>
            <w:r>
              <w:t xml:space="preserve">3x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SQS queue depth</w:t>
            </w:r>
          </w:p>
        </w:tc>
        <w:tc>
          <w:tcPr/>
          <w:p>
            <w:pPr>
              <w:pStyle w:val="Compact"/>
            </w:pPr>
            <w:r>
              <w:t xml:space="preserve">50 avg, 800 peak</w:t>
            </w:r>
          </w:p>
        </w:tc>
        <w:tc>
          <w:tcPr/>
          <w:p>
            <w:pPr>
              <w:pStyle w:val="Compact"/>
            </w:pPr>
            <w:r>
              <w:t xml:space="preserve">No limit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Monitor</w:t>
            </w:r>
          </w:p>
        </w:tc>
      </w:tr>
    </w:tbl>
    <w:bookmarkEnd w:id="32"/>
    <w:bookmarkStart w:id="33" w:name="architecture-decisions"/>
    <w:p>
      <w:pPr>
        <w:pStyle w:val="Heading3"/>
      </w:pPr>
      <w:r>
        <w:t xml:space="preserve">Architecture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ADR-007</w:t>
            </w:r>
          </w:p>
        </w:tc>
        <w:tc>
          <w:tcPr/>
          <w:p>
            <w:pPr>
              <w:pStyle w:val="Compact"/>
            </w:pPr>
            <w:r>
              <w:t xml:space="preserve">Add circuit breaker between Settlement → Payment API</w:t>
            </w:r>
          </w:p>
        </w:tc>
        <w:tc>
          <w:tcPr/>
          <w:p>
            <w:pPr>
              <w:pStyle w:val="Compact"/>
            </w:pPr>
            <w:r>
              <w:t xml:space="preserve">Settlement timeout cascade observed in Mar 12 incident</w:t>
            </w:r>
          </w:p>
        </w:tc>
        <w:tc>
          <w:tcPr/>
          <w:p>
            <w:pPr>
              <w:pStyle w:val="Compact"/>
            </w:pPr>
            <w:r>
              <w:t xml:space="preserve">Approved, PR in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ADR-008</w:t>
            </w:r>
          </w:p>
        </w:tc>
        <w:tc>
          <w:tcPr/>
          <w:p>
            <w:pPr>
              <w:pStyle w:val="Compact"/>
            </w:pPr>
            <w:r>
              <w:t xml:space="preserve">Use PgBouncer for connection pooling at &gt;800 TPS</w:t>
            </w:r>
          </w:p>
        </w:tc>
        <w:tc>
          <w:tcPr/>
          <w:p>
            <w:pPr>
              <w:pStyle w:val="Compact"/>
            </w:pPr>
            <w:r>
              <w:t xml:space="preserve">HikariCP per-service pooling won’t scale beyond 800 TPS</w:t>
            </w:r>
          </w:p>
        </w:tc>
        <w:tc>
          <w:tcPr/>
          <w:p>
            <w:pPr>
              <w:pStyle w:val="Compact"/>
            </w:pPr>
            <w:r>
              <w:t xml:space="preserve">Proposed for Q2</w:t>
            </w:r>
          </w:p>
        </w:tc>
      </w:tr>
    </w:tbl>
    <w:bookmarkEnd w:id="33"/>
    <w:bookmarkEnd w:id="34"/>
    <w:bookmarkStart w:id="40" w:name="team-development"/>
    <w:p>
      <w:pPr>
        <w:pStyle w:val="Heading1"/>
      </w:pPr>
      <w:r>
        <w:t xml:space="preserve">5. Team Development</w:t>
      </w:r>
    </w:p>
    <w:bookmarkStart w:id="35" w:name="knowledge-transfer"/>
    <w:p>
      <w:pPr>
        <w:pStyle w:val="Heading3"/>
      </w:pPr>
      <w:r>
        <w:t xml:space="preserve">Knowledge Transfer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Attendees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SLOs: why and how</w:t>
            </w:r>
          </w:p>
        </w:tc>
        <w:tc>
          <w:tcPr/>
          <w:p>
            <w:pPr>
              <w:pStyle w:val="Compact"/>
            </w:pPr>
            <w:r>
              <w:t xml:space="preserve">Workshop (2h)</w:t>
            </w:r>
          </w:p>
        </w:tc>
        <w:tc>
          <w:tcPr/>
          <w:p>
            <w:pPr>
              <w:pStyle w:val="Compact"/>
            </w:pPr>
            <w:r>
              <w:t xml:space="preserve">Carlos, Marta, Javier</w:t>
            </w:r>
          </w:p>
        </w:tc>
        <w:tc>
          <w:tcPr/>
          <w:p>
            <w:pPr>
              <w:pStyle w:val="Compact"/>
            </w:pPr>
            <w:r>
              <w:t xml:space="preserve">Mar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effective runbooks</w:t>
            </w:r>
          </w:p>
        </w:tc>
        <w:tc>
          <w:tcPr/>
          <w:p>
            <w:pPr>
              <w:pStyle w:val="Compact"/>
            </w:pPr>
            <w:r>
              <w:t xml:space="preserve">Pair programming</w:t>
            </w:r>
          </w:p>
        </w:tc>
        <w:tc>
          <w:tcPr/>
          <w:p>
            <w:pPr>
              <w:pStyle w:val="Compact"/>
            </w:pPr>
            <w:r>
              <w:t xml:space="preserve">Carlos</w:t>
            </w:r>
          </w:p>
        </w:tc>
        <w:tc>
          <w:tcPr/>
          <w:p>
            <w:pPr>
              <w:pStyle w:val="Compact"/>
            </w:pPr>
            <w:r>
              <w:t xml:space="preserve">Mar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traces in Grafana</w:t>
            </w:r>
          </w:p>
        </w:tc>
        <w:tc>
          <w:tcPr/>
          <w:p>
            <w:pPr>
              <w:pStyle w:val="Compact"/>
            </w:pPr>
            <w:r>
              <w:t xml:space="preserve">Hands-on session (1h)</w:t>
            </w:r>
          </w:p>
        </w:tc>
        <w:tc>
          <w:tcPr/>
          <w:p>
            <w:pPr>
              <w:pStyle w:val="Compact"/>
            </w:pPr>
            <w:r>
              <w:t xml:space="preserve">Full team (5)</w:t>
            </w:r>
          </w:p>
        </w:tc>
        <w:tc>
          <w:tcPr/>
          <w:p>
            <w:pPr>
              <w:pStyle w:val="Compact"/>
            </w:pPr>
            <w:r>
              <w:t xml:space="preserve">Mar 20</w:t>
            </w:r>
          </w:p>
        </w:tc>
      </w:tr>
    </w:tbl>
    <w:bookmarkEnd w:id="35"/>
    <w:bookmarkStart w:id="39" w:name="maturity-progress"/>
    <w:p>
      <w:pPr>
        <w:pStyle w:val="Heading3"/>
      </w:pPr>
      <w:r>
        <w:t xml:space="preserve">Maturity Progress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SRE Maturity Progress" title="" id="37" name="Picture"/>
            <a:graphic>
              <a:graphicData uri="http://schemas.openxmlformats.org/drawingml/2006/picture">
                <pic:pic>
                  <pic:nvPicPr>
                    <pic:cNvPr descr="assets/charts/sre-maturity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SRE Maturity Progress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Start (Jan)</w:t>
            </w:r>
          </w:p>
        </w:tc>
        <w:tc>
          <w:tcPr/>
          <w:p>
            <w:pPr>
              <w:pStyle w:val="Compact"/>
            </w:pPr>
            <w:r>
              <w:t xml:space="preserve">Last Month</w:t>
            </w:r>
          </w:p>
        </w:tc>
        <w:tc>
          <w:tcPr/>
          <w:p>
            <w:pPr>
              <w:pStyle w:val="Compact"/>
            </w:pPr>
            <w:r>
              <w:t xml:space="preserve">This Month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SLOs &amp; error budgets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Runbooks &amp; docs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Chaos engineering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testing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39"/>
    <w:bookmarkEnd w:id="40"/>
    <w:bookmarkStart w:id="41" w:name="next-month-plan"/>
    <w:p>
      <w:pPr>
        <w:pStyle w:val="Heading1"/>
      </w:pPr>
      <w:r>
        <w:t xml:space="preserve">6. Next Month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Chaos experiment: Redis failover</w:t>
            </w:r>
          </w:p>
        </w:tc>
        <w:tc>
          <w:tcPr/>
          <w:p>
            <w:pPr>
              <w:pStyle w:val="Compact"/>
            </w:pPr>
            <w:r>
              <w:t xml:space="preserve">Validate cache recovery behavior under ElastiCache failover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Escalation drill with full team</w:t>
            </w:r>
          </w:p>
        </w:tc>
        <w:tc>
          <w:tcPr/>
          <w:p>
            <w:pPr>
              <w:pStyle w:val="Compact"/>
            </w:pPr>
            <w:r>
              <w:t xml:space="preserve">Test end-to-end incident response including CTO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Train 2 more engineers for on-call</w:t>
            </w:r>
          </w:p>
        </w:tc>
        <w:tc>
          <w:tcPr/>
          <w:p>
            <w:pPr>
              <w:pStyle w:val="Compact"/>
            </w:pPr>
            <w:r>
              <w:t xml:space="preserve">Sustainable 5-person rotation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Architecture review for PgBouncer</w:t>
            </w:r>
          </w:p>
        </w:tc>
        <w:tc>
          <w:tcPr/>
          <w:p>
            <w:pPr>
              <w:pStyle w:val="Compact"/>
            </w:pPr>
            <w:r>
              <w:t xml:space="preserve">Decision document for Q2 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Runbooks for remaining 3 incident types</w:t>
            </w:r>
          </w:p>
        </w:tc>
        <w:tc>
          <w:tcPr/>
          <w:p>
            <w:pPr>
              <w:pStyle w:val="Compact"/>
            </w:pPr>
            <w:r>
              <w:t xml:space="preserve">Complete runbook coverage for all known failure modes</w:t>
            </w:r>
          </w:p>
        </w:tc>
      </w:tr>
    </w:tbl>
    <w:p>
      <w:pPr>
        <w:pStyle w:val="BodyText"/>
      </w:pPr>
      <w:r>
        <w:br/>
      </w:r>
    </w:p>
    <w:p>
      <w:pPr>
        <w:pStyle w:val="BlockText"/>
      </w:pPr>
      <w:r>
        <w:t xml:space="preserve">hello@vantx.io · vantx.io</w:t>
      </w:r>
    </w:p>
    <w:bookmarkEnd w:id="41"/>
    <w:sectPr>
      <w:headerReference r:id="rId6" w:type="default"/>
      <w:footerReference r:id="rId7" w:type="default"/>
      <w:pgSz w:h="15840" w:orient="portrait" w:w="12240"/>
      <w:pgMar w:bottom="1440" w:footer="708" w:gutter="0" w:header="708" w:left="1200" w:right="12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|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VANTX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F1B33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1B33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Relationship Type="http://schemas.openxmlformats.org/officeDocument/2006/relationships/image" Id="rId36" Target="media/rId36.svg" /><Relationship Type="http://schemas.openxmlformats.org/officeDocument/2006/relationships/image" Id="rId16" Target="media/rId16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Fractional SRE — Monthly Report</dc:title>
  <dc:creator/>
  <cp:keywords/>
  <dcterms:created xsi:type="dcterms:W3CDTF">2026-03-22T22:19:42Z</dcterms:created>
  <dcterms:modified xsi:type="dcterms:W3CDTF">2026-03-22T22:19:42Z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NovaPay SpA — March 2026</vt:lpwstr>
  </property>
  <property fmtid="{D5CDD505-2E9C-101B-9397-08002B2CF9AE}" pid="4" name="version">
    <vt:lpwstr>1.0</vt:lpwstr>
  </property>
</Properties>
</file>