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LineageIQ Platform</w:t>
      </w:r>
    </w:p>
    <w:p>
      <w:pPr>
        <w:pStyle w:val="Subtitle"/>
      </w:pPr>
      <w:r>
        <w:t>Architecture Guardrails &amp; Best Practices</w:t>
      </w:r>
    </w:p>
    <w:p>
      <w:r>
        <w:t>Enterprise Architecture Standards  |  Version 1.0  |  October 2026</w:t>
      </w:r>
    </w:p>
    <w:p>
      <w:pPr>
        <w:pStyle w:val="Heading1"/>
      </w:pPr>
      <w:r>
        <w:t>1. Executive recommendation</w:t>
      </w:r>
    </w:p>
    <w:p>
      <w:r>
        <w:t>LineageIQ should be an enterprise-grade, AI-assisted metadata intelligence platform supporting end-to-end lineage, transformation intelligence, data quality (DQ), impact analysis, regulatory traceability and governance.</w:t>
      </w:r>
    </w:p>
    <w:p>
      <w:pPr>
        <w:pStyle w:val="ListBullet"/>
      </w:pPr>
      <w:r>
        <w:t>Metadata-first, AI-assisted: deterministic extraction and authoritative metadata take precedence over inference.</w:t>
      </w:r>
    </w:p>
    <w:p>
      <w:pPr>
        <w:pStyle w:val="ListBullet"/>
      </w:pPr>
      <w:r>
        <w:t>Standards-based: OpenLineage-compatible events with a canonical enterprise metadata model.</w:t>
      </w:r>
    </w:p>
    <w:p>
      <w:pPr>
        <w:pStyle w:val="ListBullet"/>
      </w:pPr>
      <w:r>
        <w:t>Evidence-driven: each lineage assertion must retain traceable supporting evidence.</w:t>
      </w:r>
    </w:p>
    <w:p>
      <w:pPr>
        <w:pStyle w:val="ListBullet"/>
      </w:pPr>
      <w:r>
        <w:t>Secure by design: least privilege, tenant isolation, classification and auditability.</w:t>
      </w:r>
    </w:p>
    <w:p>
      <w:pPr>
        <w:pStyle w:val="ListBullet"/>
      </w:pPr>
      <w:r>
        <w:t>Human-governed autonomy: inferred relationships require policy-based validation and approval.</w:t>
      </w:r>
    </w:p>
    <w:p>
      <w:pPr>
        <w:pStyle w:val="Heading1"/>
      </w:pPr>
      <w:r>
        <w:t>2. Reference architecture</w:t>
      </w:r>
    </w:p>
    <w:p>
      <w:r>
        <w:t>Enterprise Consumers (Lineage Explorer, Impact Analysis, DQ Dashboard, Governance Portal, Copilot, APIs)</w:t>
      </w:r>
    </w:p>
    <w:p>
      <w:r>
        <w:t>↓ Governed API Gateway, RBAC/ABAC, Audit</w:t>
      </w:r>
    </w:p>
    <w:p>
      <w:r>
        <w:t>Intelligence &amp; Orchestration (Workflow Orchestrator → Discovery → Parser/AST → Tachyon Inference → Validation → Confidence Scoring → Approval)</w:t>
      </w:r>
    </w:p>
    <w:p>
      <w:r>
        <w:t>↓ Canonical Metadata &amp; DQ Control Layer (OpenLineage Events, Normalization, DQ Rules and Results, Policy Checks, Evidence Versions)</w:t>
      </w:r>
    </w:p>
    <w:p>
      <w:r>
        <w:t>↓ Storage (Neo4j Graph | BigQuery Analytics/History | Cloud Storage Evidence)</w:t>
      </w:r>
    </w:p>
    <w:p>
      <w:r>
        <w:t>↑ Enterprise Sources (Git, Ab Initio, Informatica, Teradata, Oracle, SQL Server, Hive, BigQuery, Autosys, Java, Python)</w:t>
      </w:r>
    </w:p>
    <w:p>
      <w:r>
        <w:t>Cross-cutting controls: IAM, private networking, KMS, sensitive-data protection, observability, FinOps and CI/CD.</w:t>
      </w:r>
    </w:p>
    <w:p>
      <w:r>
        <w:t>Architectural separation of discovery, inference, validation and publication prevents AI output from automatically becoming authoritative lineage.</w:t>
      </w:r>
    </w:p>
    <w:p>
      <w:pPr>
        <w:pStyle w:val="Heading1"/>
      </w:pPr>
      <w:r>
        <w:t>3. Enterprise architecture guardrails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Guardrail</w:t>
            </w:r>
          </w:p>
        </w:tc>
        <w:tc>
          <w:tcPr>
            <w:tcW w:type="dxa" w:w="2880"/>
          </w:tcPr>
          <w:p>
            <w:r>
              <w:t>Enforcement</w:t>
            </w:r>
          </w:p>
        </w:tc>
      </w:tr>
      <w:tr>
        <w:tc>
          <w:tcPr>
            <w:tcW w:type="dxa" w:w="2880"/>
          </w:tcPr>
          <w:p>
            <w:r>
              <w:t>ARC-01</w:t>
            </w:r>
          </w:p>
        </w:tc>
        <w:tc>
          <w:tcPr>
            <w:tcW w:type="dxa" w:w="2880"/>
          </w:tcPr>
          <w:p>
            <w:r>
              <w:t>Separate metadata extraction from AI inference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ARC-02</w:t>
            </w:r>
          </w:p>
        </w:tc>
        <w:tc>
          <w:tcPr>
            <w:tcW w:type="dxa" w:w="2880"/>
          </w:tcPr>
          <w:p>
            <w:r>
              <w:t>Use a canonical enterprise metadata model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ARC-03</w:t>
            </w:r>
          </w:p>
        </w:tc>
        <w:tc>
          <w:tcPr>
            <w:tcW w:type="dxa" w:w="2880"/>
          </w:tcPr>
          <w:p>
            <w:r>
              <w:t>Support OpenLineage-compatible ingestion and export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ARC-04</w:t>
            </w:r>
          </w:p>
        </w:tc>
        <w:tc>
          <w:tcPr>
            <w:tcW w:type="dxa" w:w="2880"/>
          </w:tcPr>
          <w:p>
            <w:r>
              <w:t>Preserve source evidence for every lineage edge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ARC-05</w:t>
            </w:r>
          </w:p>
        </w:tc>
        <w:tc>
          <w:tcPr>
            <w:tcW w:type="dxa" w:w="2880"/>
          </w:tcPr>
          <w:p>
            <w:r>
              <w:t>Never publish unverified AI inference as authoritative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ARC-06</w:t>
            </w:r>
          </w:p>
        </w:tc>
        <w:tc>
          <w:tcPr>
            <w:tcW w:type="dxa" w:w="2880"/>
          </w:tcPr>
          <w:p>
            <w:r>
              <w:t>Maintain versioned metadata and historical lineage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ARC-07</w:t>
            </w:r>
          </w:p>
        </w:tc>
        <w:tc>
          <w:tcPr>
            <w:tcW w:type="dxa" w:w="2880"/>
          </w:tcPr>
          <w:p>
            <w:r>
              <w:t>Support system, dataset and element-level lineage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ARC-08</w:t>
            </w:r>
          </w:p>
        </w:tc>
        <w:tc>
          <w:tcPr>
            <w:tcW w:type="dxa" w:w="2880"/>
          </w:tcPr>
          <w:p>
            <w:r>
              <w:t>Separate DQ definitions from DQ execution results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ARC-09</w:t>
            </w:r>
          </w:p>
        </w:tc>
        <w:tc>
          <w:tcPr>
            <w:tcW w:type="dxa" w:w="2880"/>
          </w:tcPr>
          <w:p>
            <w:r>
              <w:t>Use asynchronous, independently scalable services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ARC-10</w:t>
            </w:r>
          </w:p>
        </w:tc>
        <w:tc>
          <w:tcPr>
            <w:tcW w:type="dxa" w:w="2880"/>
          </w:tcPr>
          <w:p>
            <w:r>
              <w:t>Enforce source access boundaries and tenant isolation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ARC-11</w:t>
            </w:r>
          </w:p>
        </w:tc>
        <w:tc>
          <w:tcPr>
            <w:tcW w:type="dxa" w:w="2880"/>
          </w:tcPr>
          <w:p>
            <w:r>
              <w:t>Use approved, versioned models and prompts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ARC-12</w:t>
            </w:r>
          </w:p>
        </w:tc>
        <w:tc>
          <w:tcPr>
            <w:tcW w:type="dxa" w:w="2880"/>
          </w:tcPr>
          <w:p>
            <w:r>
              <w:t>Enforce quotas, retry limits and cost budgets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ARC-13</w:t>
            </w:r>
          </w:p>
        </w:tc>
        <w:tc>
          <w:tcPr>
            <w:tcW w:type="dxa" w:w="2880"/>
          </w:tcPr>
          <w:p>
            <w:r>
              <w:t>Support human review and correction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ARC-14</w:t>
            </w:r>
          </w:p>
        </w:tc>
        <w:tc>
          <w:tcPr>
            <w:tcW w:type="dxa" w:w="2880"/>
          </w:tcPr>
          <w:p>
            <w:r>
              <w:t>Expose governed, versioned metadata APIs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ARC-15</w:t>
            </w:r>
          </w:p>
        </w:tc>
        <w:tc>
          <w:tcPr>
            <w:tcW w:type="dxa" w:w="2880"/>
          </w:tcPr>
          <w:p>
            <w:r>
              <w:t>Maintain complete metadata-change audit trails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</w:tbl>
    <w:p/>
    <w:p>
      <w:pPr>
        <w:pStyle w:val="Heading1"/>
      </w:pPr>
      <w:r>
        <w:t>4. AI agent architecture guardrails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Find approved repositories and artifacts</w:t>
            </w:r>
          </w:p>
        </w:tc>
        <w:tc>
          <w:tcPr>
            <w:tcW w:type="dxa" w:w="2880"/>
          </w:tcPr>
          <w:p>
            <w:r>
              <w:t>Allowlisted sources and paths</w:t>
            </w:r>
          </w:p>
        </w:tc>
      </w:tr>
      <w:tr>
        <w:tc>
          <w:tcPr>
            <w:tcW w:type="dxa" w:w="2880"/>
          </w:tcPr>
          <w:p>
            <w:r>
              <w:t>Parser</w:t>
            </w:r>
          </w:p>
        </w:tc>
        <w:tc>
          <w:tcPr>
            <w:tcW w:type="dxa" w:w="2880"/>
          </w:tcPr>
          <w:p>
            <w:r>
              <w:t>Extract SQL/AST/config dependencies</w:t>
            </w:r>
          </w:p>
        </w:tc>
        <w:tc>
          <w:tcPr>
            <w:tcW w:type="dxa" w:w="2880"/>
          </w:tcPr>
          <w:p>
            <w:r>
              <w:t>Deterministic extraction first</w:t>
            </w:r>
          </w:p>
        </w:tc>
      </w:tr>
      <w:tr>
        <w:tc>
          <w:tcPr>
            <w:tcW w:type="dxa" w:w="2880"/>
          </w:tcPr>
          <w:p>
            <w:r>
              <w:t>Inference</w:t>
            </w:r>
          </w:p>
        </w:tc>
        <w:tc>
          <w:tcPr>
            <w:tcW w:type="dxa" w:w="2880"/>
          </w:tcPr>
          <w:p>
            <w:r>
              <w:t>Resolve dynamic SQL and indirect dependencies</w:t>
            </w:r>
          </w:p>
        </w:tc>
        <w:tc>
          <w:tcPr>
            <w:tcW w:type="dxa" w:w="2880"/>
          </w:tcPr>
          <w:p>
            <w:r>
              <w:t>Evidence and uncertainty required</w:t>
            </w:r>
          </w:p>
        </w:tc>
      </w:tr>
      <w:tr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Map to canonical enterprise asset IDs</w:t>
            </w:r>
          </w:p>
        </w:tc>
        <w:tc>
          <w:tcPr>
            <w:tcW w:type="dxa" w:w="2880"/>
          </w:tcPr>
          <w:p>
            <w:r>
              <w:t>No unverified merges</w:t>
            </w:r>
          </w:p>
        </w:tc>
      </w:tr>
      <w:tr>
        <w:tc>
          <w:tcPr>
            <w:tcW w:type="dxa" w:w="2880"/>
          </w:tcPr>
          <w:p>
            <w:r>
              <w:t>DQ Intelligence</w:t>
            </w:r>
          </w:p>
        </w:tc>
        <w:tc>
          <w:tcPr>
            <w:tcW w:type="dxa" w:w="2880"/>
          </w:tcPr>
          <w:p>
            <w:r>
              <w:t>Identify and classify checks</w:t>
            </w:r>
          </w:p>
        </w:tc>
        <w:tc>
          <w:tcPr>
            <w:tcW w:type="dxa" w:w="2880"/>
          </w:tcPr>
          <w:p>
            <w:r>
              <w:t>Observed vs suggested rules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Corroborate extracted relationships</w:t>
            </w:r>
          </w:p>
        </w:tc>
        <w:tc>
          <w:tcPr>
            <w:tcW w:type="dxa" w:w="2880"/>
          </w:tcPr>
          <w:p>
            <w:r>
              <w:t>Independent validation</w:t>
            </w:r>
          </w:p>
        </w:tc>
      </w:tr>
      <w:tr>
        <w:tc>
          <w:tcPr>
            <w:tcW w:type="dxa" w:w="2880"/>
          </w:tcPr>
          <w:p>
            <w:r>
              <w:t>Publishing</w:t>
            </w:r>
          </w:p>
        </w:tc>
        <w:tc>
          <w:tcPr>
            <w:tcW w:type="dxa" w:w="2880"/>
          </w:tcPr>
          <w:p>
            <w:r>
              <w:t>Write approved metadata</w:t>
            </w:r>
          </w:p>
        </w:tc>
        <w:tc>
          <w:tcPr>
            <w:tcW w:type="dxa" w:w="2880"/>
          </w:tcPr>
          <w:p>
            <w:r>
              <w:t>Policy-gated permissions</w:t>
            </w:r>
          </w:p>
        </w:tc>
      </w:tr>
    </w:tbl>
    <w:p/>
    <w:p>
      <w:pPr>
        <w:pStyle w:val="ListBullet"/>
      </w:pPr>
      <w:r>
        <w:t>Treat source code, comments and retrieved content as untrusted input; never follow instructions embedded in them.</w:t>
      </w:r>
    </w:p>
    <w:p>
      <w:pPr>
        <w:pStyle w:val="ListBullet"/>
      </w:pPr>
      <w:r>
        <w:t>Use least-privilege service identities and allowlisted tools for each agent.</w:t>
      </w:r>
    </w:p>
    <w:p>
      <w:pPr>
        <w:pStyle w:val="ListBullet"/>
      </w:pPr>
      <w:r>
        <w:t>Validate output schemas, resolved entities, provenance and policy compliance.</w:t>
      </w:r>
    </w:p>
    <w:p>
      <w:pPr>
        <w:pStyle w:val="ListBullet"/>
      </w:pPr>
      <w:r>
        <w:t>Record prompt/model version, source commit, input fingerprint and execution ID.</w:t>
      </w:r>
    </w:p>
    <w:p>
      <w:pPr>
        <w:pStyle w:val="ListBullet"/>
      </w:pPr>
      <w:r>
        <w:t>Limit agent iterations, tokens, duration and cost; do not block deterministic extraction when AI fails.</w:t>
      </w:r>
    </w:p>
    <w:p>
      <w:pPr>
        <w:pStyle w:val="ListBullet"/>
      </w:pPr>
      <w:r>
        <w:t>Prefer explicit workflow orchestration over unrestricted agent-to-agent delegation.</w:t>
      </w:r>
    </w:p>
    <w:p>
      <w:pPr>
        <w:pStyle w:val="Heading1"/>
      </w:pPr>
      <w:r>
        <w:t>5. Extraction, confidence and publication</w:t>
      </w:r>
    </w:p>
    <w:p>
      <w:r>
        <w:t>Publication lifecycle: Discover → Extract → Infer (only unresolved cases) → Validate → Approve → Publish.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Proposed confidence band</w:t>
            </w:r>
          </w:p>
        </w:tc>
        <w:tc>
          <w:tcPr>
            <w:tcW w:type="dxa" w:w="4320"/>
          </w:tcPr>
          <w:p>
            <w:r>
              <w:t>Handling</w:t>
            </w:r>
          </w:p>
        </w:tc>
      </w:tr>
      <w:tr>
        <w:tc>
          <w:tcPr>
            <w:tcW w:type="dxa" w:w="4320"/>
          </w:tcPr>
          <w:p>
            <w:r>
              <w:t>95–100%</w:t>
            </w:r>
          </w:p>
        </w:tc>
        <w:tc>
          <w:tcPr>
            <w:tcW w:type="dxa" w:w="4320"/>
          </w:tcPr>
          <w:p>
            <w:r>
              <w:t>Eligible for auto-publication only with strong independent evidence</w:t>
            </w:r>
          </w:p>
        </w:tc>
      </w:tr>
      <w:tr>
        <w:tc>
          <w:tcPr>
            <w:tcW w:type="dxa" w:w="4320"/>
          </w:tcPr>
          <w:p>
            <w:r>
              <w:t>80–94%</w:t>
            </w:r>
          </w:p>
        </w:tc>
        <w:tc>
          <w:tcPr>
            <w:tcW w:type="dxa" w:w="4320"/>
          </w:tcPr>
          <w:p>
            <w:r>
              <w:t>Provisional publication or review</w:t>
            </w:r>
          </w:p>
        </w:tc>
      </w:tr>
      <w:tr>
        <w:tc>
          <w:tcPr>
            <w:tcW w:type="dxa" w:w="4320"/>
          </w:tcPr>
          <w:p>
            <w:r>
              <w:t>60–79%</w:t>
            </w:r>
          </w:p>
        </w:tc>
        <w:tc>
          <w:tcPr>
            <w:tcW w:type="dxa" w:w="4320"/>
          </w:tcPr>
          <w:p>
            <w:r>
              <w:t>Human validation required</w:t>
            </w:r>
          </w:p>
        </w:tc>
      </w:tr>
      <w:tr>
        <w:tc>
          <w:tcPr>
            <w:tcW w:type="dxa" w:w="4320"/>
          </w:tcPr>
          <w:p>
            <w:r>
              <w:t>Below 60%</w:t>
            </w:r>
          </w:p>
        </w:tc>
        <w:tc>
          <w:tcPr>
            <w:tcW w:type="dxa" w:w="4320"/>
          </w:tcPr>
          <w:p>
            <w:r>
              <w:t>Quarantine; not trusted</w:t>
            </w:r>
          </w:p>
        </w:tc>
      </w:tr>
    </w:tbl>
    <w:p/>
    <w:p>
      <w:r>
        <w:t>These bands are initial policy proposals, not industry standards. Calibrate against labeled examples. Confidence must derive from parser reliability, schema compatibility, runtime corroboration and evidence quality—not LLM self-assessment alone. Deterministic output can also be wrong when code or environment context is incomplete.</w:t>
      </w:r>
    </w:p>
    <w:p>
      <w:pPr>
        <w:pStyle w:val="Heading1"/>
      </w:pPr>
      <w:r>
        <w:t>6. Canonical metadata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Minimum attributes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ID, platform, environment, owner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ID, repository, business domain</w:t>
            </w:r>
          </w:p>
        </w:tc>
      </w:tr>
      <w:tr>
        <w:tc>
          <w:tcPr>
            <w:tcW w:type="dxa" w:w="4320"/>
          </w:tcPr>
          <w:p>
            <w:r>
              <w:t>Process / Job</w:t>
            </w:r>
          </w:p>
        </w:tc>
        <w:tc>
          <w:tcPr>
            <w:tcW w:type="dxa" w:w="4320"/>
          </w:tcPr>
          <w:p>
            <w:r>
              <w:t>ID, engine, schedule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Qualified name, schema, owner, classification</w:t>
            </w:r>
          </w:p>
        </w:tc>
      </w:tr>
      <w:tr>
        <w:tc>
          <w:tcPr>
            <w:tcW w:type="dxa" w:w="4320"/>
          </w:tcPr>
          <w:p>
            <w:r>
              <w:t>Data Element</w:t>
            </w:r>
          </w:p>
        </w:tc>
        <w:tc>
          <w:tcPr>
            <w:tcW w:type="dxa" w:w="4320"/>
          </w:tcPr>
          <w:p>
            <w:r>
              <w:t>Name, type, classification</w:t>
            </w:r>
          </w:p>
        </w:tc>
      </w:tr>
      <w:tr>
        <w:tc>
          <w:tcPr>
            <w:tcW w:type="dxa" w:w="4320"/>
          </w:tcPr>
          <w:p>
            <w:r>
              <w:t>Transformation</w:t>
            </w:r>
          </w:p>
        </w:tc>
        <w:tc>
          <w:tcPr>
            <w:tcW w:type="dxa" w:w="4320"/>
          </w:tcPr>
          <w:p>
            <w:r>
              <w:t>Expression, mapping, source reference</w:t>
            </w:r>
          </w:p>
        </w:tc>
      </w:tr>
      <w:tr>
        <w:tc>
          <w:tcPr>
            <w:tcW w:type="dxa" w:w="4320"/>
          </w:tcPr>
          <w:p>
            <w:r>
              <w:t>Lineage Edge</w:t>
            </w:r>
          </w:p>
        </w:tc>
        <w:tc>
          <w:tcPr>
            <w:tcW w:type="dxa" w:w="4320"/>
          </w:tcPr>
          <w:p>
            <w:r>
              <w:t>Source, target, semantics, confidence, evidence</w:t>
            </w:r>
          </w:p>
        </w:tc>
      </w:tr>
      <w:tr>
        <w:tc>
          <w:tcPr>
            <w:tcW w:type="dxa" w:w="4320"/>
          </w:tcPr>
          <w:p>
            <w:r>
              <w:t>DQ Rule</w:t>
            </w:r>
          </w:p>
        </w:tc>
        <w:tc>
          <w:tcPr>
            <w:tcW w:type="dxa" w:w="4320"/>
          </w:tcPr>
          <w:p>
            <w:r>
              <w:t>ID, scope, expression, severity, version</w:t>
            </w:r>
          </w:p>
        </w:tc>
      </w:tr>
      <w:tr>
        <w:tc>
          <w:tcPr>
            <w:tcW w:type="dxa" w:w="4320"/>
          </w:tcPr>
          <w:p>
            <w:r>
              <w:t>DQ Execution</w:t>
            </w:r>
          </w:p>
        </w:tc>
        <w:tc>
          <w:tcPr>
            <w:tcW w:type="dxa" w:w="4320"/>
          </w:tcPr>
          <w:p>
            <w:r>
              <w:t>Run ID, result, actual/expected, timestamp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Artifact URI, commit, location, hash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Reviewer, decision, timestamp, rationale</w:t>
            </w:r>
          </w:p>
        </w:tc>
      </w:tr>
    </w:tbl>
    <w:p/>
    <w:p>
      <w:pPr>
        <w:pStyle w:val="ListBullet"/>
      </w:pPr>
      <w:r>
        <w:t>Use stable globally unique identities and distinguish logical from physical assets.</w:t>
      </w:r>
    </w:p>
    <w:p>
      <w:pPr>
        <w:pStyle w:val="ListBullet"/>
      </w:pPr>
      <w:r>
        <w:t>Retain valid-time and observation-time history; do not silently overwrite conflicting assertions.</w:t>
      </w:r>
    </w:p>
    <w:p>
      <w:pPr>
        <w:pStyle w:val="ListBullet"/>
      </w:pPr>
      <w:r>
        <w:t>Classify transformation types (direct, derived, aggregate, filter, conditional).</w:t>
      </w:r>
    </w:p>
    <w:p>
      <w:pPr>
        <w:pStyle w:val="ListBullet"/>
      </w:pPr>
      <w:r>
        <w:t>Connect business and technical lineage without conflating them.</w:t>
      </w:r>
    </w:p>
    <w:p>
      <w:pPr>
        <w:pStyle w:val="ListBullet"/>
      </w:pPr>
      <w:r>
        <w:t>Use standard OpenLineage facets where applicable and versioned custom extensions where needed.</w:t>
      </w:r>
    </w:p>
    <w:p>
      <w:pPr>
        <w:pStyle w:val="Heading1"/>
      </w:pPr>
      <w:r>
        <w:t>7. Data quality guardrails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Example checks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Job completion, SLA, file arrival, availability, reconciliation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Row count, freshness, completeness, uniqueness, schema conformance</w:t>
            </w:r>
          </w:p>
        </w:tc>
      </w:tr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Null, range, regex, allowed values, PII format, cross-field consistency</w:t>
            </w:r>
          </w:p>
        </w:tc>
      </w:tr>
    </w:tbl>
    <w:p/>
    <w:p>
      <w:pPr>
        <w:pStyle w:val="ListBullet"/>
      </w:pPr>
      <w:r>
        <w:t>Require owner, scope, severity, rule version and enforcement policy for every DQ rule.</w:t>
      </w:r>
    </w:p>
    <w:p>
      <w:pPr>
        <w:pStyle w:val="ListBullet"/>
      </w:pPr>
      <w:r>
        <w:t>Distinguish extracted, inferred and recommended rules.</w:t>
      </w:r>
    </w:p>
    <w:p>
      <w:pPr>
        <w:pStyle w:val="ListBullet"/>
      </w:pPr>
      <w:r>
        <w:t>Keep definitions separate from results; link failures to affected datasets and jobs.</w:t>
      </w:r>
    </w:p>
    <w:p>
      <w:pPr>
        <w:pStyle w:val="ListBullet"/>
      </w:pPr>
      <w:r>
        <w:t>Support downstream impact propagation using lineage graph edges.</w:t>
      </w:r>
    </w:p>
    <w:p>
      <w:pPr>
        <w:pStyle w:val="ListBullet"/>
      </w:pPr>
      <w:r>
        <w:t>Require approval before suggested checks become enforced production controls.</w:t>
      </w:r>
    </w:p>
    <w:p>
      <w:pPr>
        <w:pStyle w:val="ListBullet"/>
      </w:pPr>
      <w:r>
        <w:t>Capture evaluation timestamp, dataset snapshot and rule version for reproducibility.</w:t>
      </w:r>
    </w:p>
    <w:p>
      <w:pPr>
        <w:pStyle w:val="Heading1"/>
      </w:pPr>
      <w:r>
        <w:t>8. GCP deployment guardrails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Suggested service</w:t>
            </w:r>
          </w:p>
        </w:tc>
        <w:tc>
          <w:tcPr>
            <w:tcW w:type="dxa" w:w="2880"/>
          </w:tcPr>
          <w:p>
            <w:r>
              <w:t>Key control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Cloud Run / Cloud Run Jobs</w:t>
            </w:r>
          </w:p>
        </w:tc>
        <w:tc>
          <w:tcPr>
            <w:tcW w:type="dxa" w:w="2880"/>
          </w:tcPr>
          <w:p>
            <w:r>
              <w:t>Stateless, bounded execution</w:t>
            </w:r>
          </w:p>
        </w:tc>
      </w:tr>
      <w:tr>
        <w:tc>
          <w:tcPr>
            <w:tcW w:type="dxa" w:w="2880"/>
          </w:tcPr>
          <w:p>
            <w:r>
              <w:t>Orchestration</w:t>
            </w:r>
          </w:p>
        </w:tc>
        <w:tc>
          <w:tcPr>
            <w:tcW w:type="dxa" w:w="2880"/>
          </w:tcPr>
          <w:p>
            <w:r>
              <w:t>Workflows</w:t>
            </w:r>
          </w:p>
        </w:tc>
        <w:tc>
          <w:tcPr>
            <w:tcW w:type="dxa" w:w="2880"/>
          </w:tcPr>
          <w:p>
            <w:r>
              <w:t>Explicit durable states</w:t>
            </w:r>
          </w:p>
        </w:tc>
      </w:tr>
      <w:tr>
        <w:tc>
          <w:tcPr>
            <w:tcW w:type="dxa" w:w="2880"/>
          </w:tcPr>
          <w:p>
            <w:r>
              <w:t>Messaging</w:t>
            </w:r>
          </w:p>
        </w:tc>
        <w:tc>
          <w:tcPr>
            <w:tcW w:type="dxa" w:w="2880"/>
          </w:tcPr>
          <w:p>
            <w:r>
              <w:t>Pub/Sub</w:t>
            </w:r>
          </w:p>
        </w:tc>
        <w:tc>
          <w:tcPr>
            <w:tcW w:type="dxa" w:w="2880"/>
          </w:tcPr>
          <w:p>
            <w:r>
              <w:t>Idempotency, dead-letter handling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BigQuery</w:t>
            </w:r>
          </w:p>
        </w:tc>
        <w:tc>
          <w:tcPr>
            <w:tcW w:type="dxa" w:w="2880"/>
          </w:tcPr>
          <w:p>
            <w:r>
              <w:t>Partitioning, access policies</w:t>
            </w:r>
          </w:p>
        </w:tc>
      </w:tr>
      <w:tr>
        <w:tc>
          <w:tcPr>
            <w:tcW w:type="dxa" w:w="2880"/>
          </w:tcPr>
          <w:p>
            <w:r>
              <w:t>Graph</w:t>
            </w:r>
          </w:p>
        </w:tc>
        <w:tc>
          <w:tcPr>
            <w:tcW w:type="dxa" w:w="2880"/>
          </w:tcPr>
          <w:p>
            <w:r>
              <w:t>Neo4j</w:t>
            </w:r>
          </w:p>
        </w:tc>
        <w:tc>
          <w:tcPr>
            <w:tcW w:type="dxa" w:w="2880"/>
          </w:tcPr>
          <w:p>
            <w:r>
              <w:t>Query limits and authorized traversals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Cloud Storage</w:t>
            </w:r>
          </w:p>
        </w:tc>
        <w:tc>
          <w:tcPr>
            <w:tcW w:type="dxa" w:w="2880"/>
          </w:tcPr>
          <w:p>
            <w:r>
              <w:t>Retention, encryption, versioning</w:t>
            </w:r>
          </w:p>
        </w:tc>
      </w:tr>
      <w:tr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Secret Manager</w:t>
            </w:r>
          </w:p>
        </w:tc>
        <w:tc>
          <w:tcPr>
            <w:tcW w:type="dxa" w:w="2880"/>
          </w:tcPr>
          <w:p>
            <w:r>
              <w:t>No hard-coded secrets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IAM / Workload Identity</w:t>
            </w:r>
          </w:p>
        </w:tc>
        <w:tc>
          <w:tcPr>
            <w:tcW w:type="dxa" w:w="2880"/>
          </w:tcPr>
          <w:p>
            <w:r>
              <w:t>Dedicated service identities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Private connectivity / VPC-SC as applicable</w:t>
            </w:r>
          </w:p>
        </w:tc>
        <w:tc>
          <w:tcPr>
            <w:tcW w:type="dxa" w:w="2880"/>
          </w:tcPr>
          <w:p>
            <w:r>
              <w:t>Exfiltration boundaries</w:t>
            </w:r>
          </w:p>
        </w:tc>
      </w:tr>
      <w:tr>
        <w:tc>
          <w:tcPr>
            <w:tcW w:type="dxa" w:w="2880"/>
          </w:tcPr>
          <w:p>
            <w:r>
              <w:t>Keys</w:t>
            </w:r>
          </w:p>
        </w:tc>
        <w:tc>
          <w:tcPr>
            <w:tcW w:type="dxa" w:w="2880"/>
          </w:tcPr>
          <w:p>
            <w:r>
              <w:t>Cloud KMS</w:t>
            </w:r>
          </w:p>
        </w:tc>
        <w:tc>
          <w:tcPr>
            <w:tcW w:type="dxa" w:w="2880"/>
          </w:tcPr>
          <w:p>
            <w:r>
              <w:t>Enterprise key policy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Cloud Logging / Monitoring</w:t>
            </w:r>
          </w:p>
        </w:tc>
        <w:tc>
          <w:tcPr>
            <w:tcW w:type="dxa" w:w="2880"/>
          </w:tcPr>
          <w:p>
            <w:r>
              <w:t>Central alerts and tracing</w:t>
            </w:r>
          </w:p>
        </w:tc>
      </w:tr>
      <w:tr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Cloud Build / Artifact Registry</w:t>
            </w:r>
          </w:p>
        </w:tc>
        <w:tc>
          <w:tcPr>
            <w:tcW w:type="dxa" w:w="2880"/>
          </w:tcPr>
          <w:p>
            <w:r>
              <w:t>Approved scanned images</w:t>
            </w:r>
          </w:p>
        </w:tc>
      </w:tr>
    </w:tbl>
    <w:p/>
    <w:p>
      <w:r>
        <w:t>Use Cloud Run for Tachyon agents only where the runtime and resource requirements fit. Evaluate GKE or approved accelerator-capable infrastructure when persistent serving, GPU needs or specialized scheduling require it.</w:t>
      </w:r>
    </w:p>
    <w:p>
      <w:pPr>
        <w:pStyle w:val="Heading1"/>
      </w:pPr>
      <w:r>
        <w:t>9. Security, privacy and regulatory controls</w:t>
      </w:r>
    </w:p>
    <w:p>
      <w:pPr>
        <w:pStyle w:val="ListBullet"/>
      </w:pPr>
      <w:r>
        <w:t>Keep source code and extracted SQL inside approved trust boundaries.</w:t>
      </w:r>
    </w:p>
    <w:p>
      <w:pPr>
        <w:pStyle w:val="ListBullet"/>
      </w:pPr>
      <w:r>
        <w:t>Redact secrets, PAN and unnecessary PII before model processing.</w:t>
      </w:r>
    </w:p>
    <w:p>
      <w:pPr>
        <w:pStyle w:val="ListBullet"/>
      </w:pPr>
      <w:r>
        <w:t>Approve model endpoints for each data classification and retention policy.</w:t>
      </w:r>
    </w:p>
    <w:p>
      <w:pPr>
        <w:pStyle w:val="ListBullet"/>
      </w:pPr>
      <w:r>
        <w:t>Apply authorization to graph traversal results as well as API requests.</w:t>
      </w:r>
    </w:p>
    <w:p>
      <w:pPr>
        <w:pStyle w:val="ListBullet"/>
      </w:pPr>
      <w:r>
        <w:t>Enforce cross-tenant isolation, audit logging and retention/deletion policies.</w:t>
      </w:r>
    </w:p>
    <w:p>
      <w:pPr>
        <w:pStyle w:val="ListBullet"/>
      </w:pPr>
      <w:r>
        <w:t>Require formal approvals and reproducible lineage snapshots for CCAR, FR Y-14 and other critical reporting.</w:t>
      </w:r>
    </w:p>
    <w:p>
      <w:pPr>
        <w:pStyle w:val="Heading1"/>
      </w:pPr>
      <w:r>
        <w:t>10. Reliability, performance and FinOps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Recommended control</w:t>
            </w:r>
          </w:p>
        </w:tc>
        <w:tc>
          <w:tcPr>
            <w:tcW w:type="dxa" w:w="2880"/>
          </w:tcPr>
          <w:p>
            <w:r>
              <w:t>Initial proposed objective</w:t>
            </w:r>
          </w:p>
        </w:tc>
      </w:tr>
      <w:tr>
        <w:tc>
          <w:tcPr>
            <w:tcW w:type="dxa" w:w="2880"/>
          </w:tcPr>
          <w:p>
            <w:r>
              <w:t>API availability</w:t>
            </w:r>
          </w:p>
        </w:tc>
        <w:tc>
          <w:tcPr>
            <w:tcW w:type="dxa" w:w="2880"/>
          </w:tcPr>
          <w:p>
            <w:r>
              <w:t>Managed HA deployment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Ingestion</w:t>
            </w:r>
          </w:p>
        </w:tc>
        <w:tc>
          <w:tcPr>
            <w:tcW w:type="dxa" w:w="2880"/>
          </w:tcPr>
          <w:p>
            <w:r>
              <w:t>Idempotent replay</w:t>
            </w:r>
          </w:p>
        </w:tc>
        <w:tc>
          <w:tcPr>
            <w:tcW w:type="dxa" w:w="2880"/>
          </w:tcPr>
          <w:p>
            <w:r>
              <w:t>No silent loss</w:t>
            </w:r>
          </w:p>
        </w:tc>
      </w:tr>
      <w:tr>
        <w:tc>
          <w:tcPr>
            <w:tcW w:type="dxa" w:w="2880"/>
          </w:tcPr>
          <w:p>
            <w:r>
              <w:t>Graph queries</w:t>
            </w:r>
          </w:p>
        </w:tc>
        <w:tc>
          <w:tcPr>
            <w:tcW w:type="dxa" w:w="2880"/>
          </w:tcPr>
          <w:p>
            <w:r>
              <w:t>Pagination/depth/timeouts</w:t>
            </w:r>
          </w:p>
        </w:tc>
        <w:tc>
          <w:tcPr>
            <w:tcW w:type="dxa" w:w="2880"/>
          </w:tcPr>
          <w:p>
            <w:r>
              <w:t>P95 &lt; 3 sec for common queries</w:t>
            </w:r>
          </w:p>
        </w:tc>
      </w:tr>
      <w:tr>
        <w:tc>
          <w:tcPr>
            <w:tcW w:type="dxa" w:w="2880"/>
          </w:tcPr>
          <w:p>
            <w:r>
              <w:t>Metadata freshness</w:t>
            </w:r>
          </w:p>
        </w:tc>
        <w:tc>
          <w:tcPr>
            <w:tcW w:type="dxa" w:w="2880"/>
          </w:tcPr>
          <w:p>
            <w:r>
              <w:t>Incremental scans</w:t>
            </w:r>
          </w:p>
        </w:tc>
        <w:tc>
          <w:tcPr>
            <w:tcW w:type="dxa" w:w="2880"/>
          </w:tcPr>
          <w:p>
            <w:r>
              <w:t>&lt; 24h for scheduled sources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Checkpoint and resume</w:t>
            </w:r>
          </w:p>
        </w:tc>
        <w:tc>
          <w:tcPr>
            <w:tcW w:type="dxa" w:w="2880"/>
          </w:tcPr>
          <w:p>
            <w:r>
              <w:t>No full rescan on retry</w:t>
            </w:r>
          </w:p>
        </w:tc>
      </w:tr>
      <w:tr>
        <w:tc>
          <w:tcPr>
            <w:tcW w:type="dxa" w:w="2880"/>
          </w:tcPr>
          <w:p>
            <w:r>
              <w:t>Costs</w:t>
            </w:r>
          </w:p>
        </w:tc>
        <w:tc>
          <w:tcPr>
            <w:tcW w:type="dxa" w:w="2880"/>
          </w:tcPr>
          <w:p>
            <w:r>
              <w:t>Per-tenant/source/agent budgets</w:t>
            </w:r>
          </w:p>
        </w:tc>
        <w:tc>
          <w:tcPr>
            <w:tcW w:type="dxa" w:w="2880"/>
          </w:tcPr>
          <w:p>
            <w:r>
              <w:t>Alert at 80%</w:t>
            </w:r>
          </w:p>
        </w:tc>
      </w:tr>
    </w:tbl>
    <w:p/>
    <w:p>
      <w:r>
        <w:t>Targets require benchmarking and operational validation. Incremental scans should use commit SHAs, artifact hashes and schema versions to avoid repeat processing.</w:t>
      </w:r>
    </w:p>
    <w:p>
      <w:pPr>
        <w:pStyle w:val="Heading1"/>
      </w:pPr>
      <w:r>
        <w:t>11. Architecture review checklist</w:t>
      </w:r>
    </w:p>
    <w:p>
      <w:r>
        <w:t>☐  Canonical schema and identity rules approved</w:t>
      </w:r>
    </w:p>
    <w:p>
      <w:r>
        <w:t>☐  OpenLineage compatibility validated</w:t>
      </w:r>
    </w:p>
    <w:p>
      <w:r>
        <w:t>☐  Evidence and confidence policies implemented</w:t>
      </w:r>
    </w:p>
    <w:p>
      <w:r>
        <w:t>☐  Agent permissions and prompt-injection defenses tested</w:t>
      </w:r>
    </w:p>
    <w:p>
      <w:r>
        <w:t>☐  System/dataset/element DQ represented</w:t>
      </w:r>
    </w:p>
    <w:p>
      <w:r>
        <w:t>☐  Sensitive-data and tenant-isolation controls verified</w:t>
      </w:r>
    </w:p>
    <w:p>
      <w:r>
        <w:t>☐  Replay, recovery and idempotency tested</w:t>
      </w:r>
    </w:p>
    <w:p>
      <w:r>
        <w:t>☐  Graph-level authorization tested</w:t>
      </w:r>
    </w:p>
    <w:p>
      <w:r>
        <w:t>☐  Performance, quotas and cost budgets tested</w:t>
      </w:r>
    </w:p>
    <w:p>
      <w:r>
        <w:t>☐  Human review and override workflow validated</w:t>
      </w:r>
    </w:p>
    <w:p>
      <w:pPr>
        <w:pStyle w:val="Heading1"/>
      </w:pPr>
      <w:r>
        <w:t>12. Delivery roadmap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Canonical model, adapters, parsers, OpenLineage ingestion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Intelligence</w:t>
            </w:r>
          </w:p>
        </w:tc>
        <w:tc>
          <w:tcPr>
            <w:tcW w:type="dxa" w:w="2880"/>
          </w:tcPr>
          <w:p>
            <w:r>
              <w:t>Tachyon inference, evidence validation, confidence engine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DQ, approvals, audit, security controls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Graph analytics, business lineage, impact analysis, optimization</w:t>
            </w:r>
          </w:p>
        </w:tc>
      </w:tr>
    </w:tbl>
    <w:p/>
    <w:p>
      <w:pPr>
        <w:pStyle w:val="Heading1"/>
      </w:pPr>
      <w:r>
        <w:t>13. Recommended Architecture Decision Records</w:t>
      </w:r>
    </w:p>
    <w:p>
      <w:pPr>
        <w:pStyle w:val="ListBullet"/>
      </w:pPr>
      <w:r>
        <w:t>ADR-001: OpenLineage-compatible canonical model with LineageIQ extensions.</w:t>
      </w:r>
    </w:p>
    <w:p>
      <w:pPr>
        <w:pStyle w:val="ListBullet"/>
      </w:pPr>
      <w:r>
        <w:t>ADR-002: Hybrid deterministic parsing and bounded AI inference.</w:t>
      </w:r>
    </w:p>
    <w:p>
      <w:pPr>
        <w:pStyle w:val="ListBullet"/>
      </w:pPr>
      <w:r>
        <w:t>ADR-003: Evidence-backed, policy-gated lineage publication.</w:t>
      </w:r>
    </w:p>
    <w:p>
      <w:pPr>
        <w:pStyle w:val="ListBullet"/>
      </w:pPr>
      <w:r>
        <w:t>ADR-004: Separate graph, analytical metadata and evidence storage.</w:t>
      </w:r>
    </w:p>
    <w:p>
      <w:pPr>
        <w:pStyle w:val="ListBullet"/>
      </w:pPr>
      <w:r>
        <w:t>ADR-005: First-class system, dataset and element-level DQ intelligence.</w:t>
      </w:r>
    </w:p>
    <w:p>
      <w:r>
        <w:t>Reference standards: OpenLineage specification and facets (openlineage.io/docs); Google Cloud Architecture Framework (cloud.google.com/architecture/framework).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LineageIQ  •  Enterprise Architecture Guardrails  •  Internal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3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3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436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