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ind w:firstLine="0"/>
      </w:pPr>
      <w:r>
        <w:br w:type="page"/>
      </w:r>
    </w:p>
    <w:p>
      <w:pPr>
        <w:pStyle w:val="Heading1"/>
        <w:keepNext/>
        <w:pageBreakBefore/>
        <w:spacing w:before="0" w:after="240" w:line="360" w:lineRule="auto"/>
        <w:ind w:firstLine="0"/>
        <w:jc w:val="center"/>
        <w:outlineLvl w:val="0"/>
      </w:pPr>
      <w:r>
        <w:rPr>
          <w:rFonts w:ascii="Times New Roman" w:hAnsi="Times New Roman" w:cs="Times New Roman" w:eastAsia="Times New Roman"/>
          <w:b w:val="0"/>
          <w:sz w:val="28"/>
        </w:rPr>
        <w:t>ОБЩИЕ СВЕДЕНИЯ</w:t>
      </w:r>
    </w:p>
    <w:p>
      <w:pPr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Преддипломная практика проходила со 2 февраля по 12 апреля 2026 года; руководителем от профильной организации выступала ст. преп. М.С. Анисимова, базой — кафедра инфокоммуникационных технологий НИТУ МИСИС. Тематически практика примыкает к выпускной квалификационной работе и посвящена созданию информационной системы автоматизированной диагностики заболеваний пшеницы по полевым снимкам средствами глубокого обучения.</w:t>
      </w:r>
    </w:p>
    <w:p>
      <w:pPr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Индивидуальное задание охватывало обзор современных подходов к распознаванию заболеваний растений, сборку и обучение модели детекции на собственном датасете, проектирование модуля контекстной модуляции признаков, реализацию клиент-серверной системы диагностики, методику тестирования с определением границ применимости и подготовку технической документации. Календарный график работ — в таблице 1.</w:t>
      </w:r>
    </w:p>
    <w:p>
      <w:pPr>
        <w:keepNext/>
        <w:spacing w:line="276" w:lineRule="auto" w:before="240" w:after="6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1 — Календарный график практики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844"/>
        <w:gridCol w:w="4844"/>
      </w:tblGrid>
      <w:tr>
        <w:trPr>
          <w:cantSplit/>
          <w:tblHeader/>
          <w:trHeight w:val="360" w:hRule="atLeast"/>
        </w:trPr>
        <w:tc>
          <w:tcPr>
            <w:tcW w:type="dxa" w:w="4844"/>
            <w:vAlign w:val="center"/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Сроки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Виды работ</w:t>
            </w:r>
          </w:p>
        </w:tc>
      </w:tr>
      <w:tr>
        <w:trPr>
          <w:cantSplit/>
          <w:trHeight w:val="360" w:hRule="atLeast"/>
        </w:trPr>
        <w:tc>
          <w:tcPr>
            <w:tcW w:type="dxa" w:w="4844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02.02–06.02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Инструктаж, согласование индивидуального задания</w:t>
            </w:r>
          </w:p>
        </w:tc>
      </w:tr>
      <w:tr>
        <w:trPr>
          <w:cantSplit/>
          <w:trHeight w:val="360" w:hRule="atLeast"/>
        </w:trPr>
        <w:tc>
          <w:tcPr>
            <w:tcW w:type="dxa" w:w="4844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09.02–22.02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Обзор методов глубокого обучения для диагностики заболеваний растений</w:t>
            </w:r>
          </w:p>
        </w:tc>
      </w:tr>
      <w:tr>
        <w:trPr>
          <w:cantSplit/>
          <w:trHeight w:val="360" w:hRule="atLeast"/>
        </w:trPr>
        <w:tc>
          <w:tcPr>
            <w:tcW w:type="dxa" w:w="4844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23.02–08.03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Подготовка датасета: разметка, аугментация, генеративное расширение</w:t>
            </w:r>
          </w:p>
        </w:tc>
      </w:tr>
      <w:tr>
        <w:trPr>
          <w:cantSplit/>
          <w:trHeight w:val="360" w:hRule="atLeast"/>
        </w:trPr>
        <w:tc>
          <w:tcPr>
            <w:tcW w:type="dxa" w:w="4844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09.03–22.03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Сравнительное обучение детекторов и выбор базовой архитектуры</w:t>
            </w:r>
          </w:p>
        </w:tc>
      </w:tr>
      <w:tr>
        <w:trPr>
          <w:cantSplit/>
          <w:trHeight w:val="360" w:hRule="atLeast"/>
        </w:trPr>
        <w:tc>
          <w:tcPr>
            <w:tcW w:type="dxa" w:w="4844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23.03–05.04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Разработка модуля контекстной модуляции, аблационные эксперименты</w:t>
            </w:r>
          </w:p>
        </w:tc>
      </w:tr>
      <w:tr>
        <w:trPr>
          <w:cantSplit/>
          <w:trHeight w:val="360" w:hRule="atLeast"/>
        </w:trPr>
        <w:tc>
          <w:tcPr>
            <w:tcW w:type="dxa" w:w="4844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06.04–10.04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Реализация информационной системы и её тестирование</w:t>
            </w:r>
          </w:p>
        </w:tc>
      </w:tr>
      <w:tr>
        <w:trPr>
          <w:cantSplit/>
          <w:trHeight w:val="360" w:hRule="atLeast"/>
        </w:trPr>
        <w:tc>
          <w:tcPr>
            <w:tcW w:type="dxa" w:w="4844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11.04–12.04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Подготовка отчёта по практике</w:t>
            </w:r>
          </w:p>
        </w:tc>
      </w:tr>
    </w:tbl>
    <w:p>
      <w:pPr>
        <w:pStyle w:val="Heading1"/>
        <w:keepNext/>
        <w:pageBreakBefore/>
        <w:spacing w:before="0" w:after="240" w:line="360" w:lineRule="auto"/>
        <w:ind w:firstLine="0"/>
        <w:jc w:val="center"/>
        <w:outlineLvl w:val="0"/>
      </w:pPr>
      <w:r>
        <w:rPr>
          <w:rFonts w:ascii="Times New Roman" w:hAnsi="Times New Roman" w:cs="Times New Roman" w:eastAsia="Times New Roman"/>
          <w:b w:val="0"/>
          <w:sz w:val="28"/>
        </w:rPr>
        <w:t>ВЫПОЛНЕНИЕ ИНДИВИДУАЛЬНОГО ЗАДАНИЯ</w:t>
      </w:r>
    </w:p>
    <w:p>
      <w:pPr>
        <w:pStyle w:val="Heading2"/>
        <w:keepNext/>
        <w:spacing w:before="240" w:after="120" w:line="360" w:lineRule="auto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 w:val="0"/>
          <w:sz w:val="28"/>
        </w:rPr>
        <w:t>1 Описание решаемой задачи</w:t>
      </w:r>
    </w:p>
    <w:p>
      <w:pPr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Сельское хозяйство сегодня вынуждено работать в условиях нарастающей фитосанитарной нагрузки и изменения климата. ФАО ООН оценивает ежегодные потери урожая от болезней растений в 20–40 % мирового производства, в денежном измерении — свыше 220 миллиардов долларов в год. Пшеница относится к ключевым продовольственным культурам, и спектр её поражений велик: грибные инфекции (септориоз, ржавчина, мучнистая роса, фузариоз, пиренофороз), физиологические нарушения от дефицита питания, абиотические повреждения. Диагностика по-прежнему опирается на визуальный осмотр агрономом и лабораторные анализы — процесс субъективный, трудозатратный и плохо переносимый на большие площади.</w:t>
      </w:r>
    </w:p>
    <w:p>
      <w:pPr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Часть этих ограничений снимается за счёт автоматизированного анализа полевых изображений на основе компьютерного зрения. Но на практике встают, во-первых, скудные и плохо сбалансированные доступные датасеты; во-вторых — сами модели: их признаки строятся главным образом из локального контекста, а популярные механизмы внимания (SE-Net, CBAM) самореферентны и игнорируют внешний контекст сцены — масштаб съёмки, освещение, фазу вегетации, — хотя именно эта информация диагностически значима.</w:t>
      </w:r>
    </w:p>
    <w:p>
      <w:pPr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Объект разработки — информационная система автоматизированной диагностики заболеваний пшеницы на полевых снимках. Цель работы — повысить эффективность такой диагностики по сравнению с базовыми архитектурами глубокого обучения, применив механизм линейной модуляции признаков внешним контекстным сигналом. Решаемые задачи:</w:t>
      </w:r>
    </w:p>
    <w:p>
      <w:pPr>
        <w:spacing w:line="360" w:lineRule="auto" w:before="0" w:after="0"/>
        <w:ind w:firstLine="0" w:left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1. 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Проанализировать актуальные подходы к диагностике заболеваний растений и обозначить ограничения существующих решений.</w:t>
      </w:r>
    </w:p>
    <w:p>
      <w:pPr>
        <w:spacing w:line="360" w:lineRule="auto" w:before="0" w:after="0"/>
        <w:ind w:firstLine="0" w:left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2. 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Построить многоэтапную стратегию аугментации и балансировки данных — классические трансформации, oversampling, генеративное расширение.</w:t>
      </w:r>
    </w:p>
    <w:p>
      <w:pPr>
        <w:spacing w:line="360" w:lineRule="auto" w:before="0" w:after="0"/>
        <w:ind w:firstLine="0" w:left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3. 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Провести сравнительный эксперимент по современным архитектурам детекции на собранном датасете.</w:t>
      </w:r>
    </w:p>
    <w:p>
      <w:pPr>
        <w:spacing w:line="360" w:lineRule="auto" w:before="0" w:after="0"/>
        <w:ind w:firstLine="0" w:left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4. 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Разработать модуль контекстной модуляции признаков на основе FiLM от внешнего энкодера, встраиваемый в neck детектора, и исследовать его аблационно.</w:t>
      </w:r>
    </w:p>
    <w:p>
      <w:pPr>
        <w:spacing w:line="360" w:lineRule="auto" w:before="0" w:after="0"/>
        <w:ind w:firstLine="0" w:left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5. 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Сопоставить модуль с альтернативными способами подключения контекста и проверить переносимость на другие семейства детекторов.</w:t>
      </w:r>
    </w:p>
    <w:p>
      <w:pPr>
        <w:spacing w:line="360" w:lineRule="auto" w:before="0" w:after="0"/>
        <w:ind w:firstLine="0" w:left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6. 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Реализовать клиент-серверную систему диагностики, объединив лучшую конфигурацию детектора с локальной языковой моделью для пояснений и рекомендаций.</w:t>
      </w:r>
    </w:p>
    <w:p>
      <w:pPr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Целевой перечень — девять патологий пшеницы: листовая (бурая) ржавчина, мучнистая роса, пиренофороз, фузариоз, септориоз, корневая гниль, недостаток фосфора, недостаток азота, повреждение заморозками.</w:t>
      </w:r>
    </w:p>
    <w:p>
      <w:pPr>
        <w:pStyle w:val="Heading2"/>
        <w:keepNext/>
        <w:spacing w:before="240" w:after="120" w:line="360" w:lineRule="auto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 w:val="0"/>
          <w:sz w:val="28"/>
        </w:rPr>
        <w:t>2 Описание методов и средств решения задачи</w:t>
      </w:r>
    </w:p>
    <w:p>
      <w:pPr>
        <w:pStyle w:val="Heading3"/>
        <w:keepNext/>
        <w:spacing w:before="240" w:after="120" w:line="360" w:lineRule="auto"/>
        <w:ind w:firstLine="709"/>
        <w:jc w:val="left"/>
        <w:outlineLvl w:val="2"/>
      </w:pPr>
      <w:r>
        <w:rPr>
          <w:rFonts w:ascii="Times New Roman" w:hAnsi="Times New Roman" w:cs="Times New Roman" w:eastAsia="Times New Roman"/>
          <w:b w:val="0"/>
          <w:sz w:val="28"/>
        </w:rPr>
        <w:t>2.1 Подготовка набора данных</w:t>
      </w:r>
    </w:p>
    <w:p>
      <w:pPr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Исходный материал — собственная коллекция полевых снимков пшеницы, собранная в разных агроклиматических условиях и на разных стадиях вегетации. Симптомы размечались полигонами в Label Studio; полигональные контуры приводились к описанным прямоугольникам, выровненным по осям координат. Итоговый датасет — 4443 изображения и 15 867 аннотаций, разбитые в пропорции 70 / 30 на обучающую и тестовую части. Чтобы редкие классы не «вымывались» из теста, разбиение делалось стратифицированно по доминирующему классу каждого снимка.</w:t>
      </w:r>
    </w:p>
    <w:p>
      <w:pPr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Обучающую выборку расширяли в три этапа:</w:t>
      </w:r>
    </w:p>
    <w:p>
      <w:pPr>
        <w:spacing w:line="360" w:lineRule="auto" w:before="0" w:after="0"/>
        <w:ind w:firstLine="0" w:left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1. 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Классическая аугментация — отражения, повороты, аффинные преобразования, сдвиги яркости и контраста, размытие; реализовано на Albumentations. На каждое изображение приходится по две независимые аугментированные копии.</w:t>
      </w:r>
    </w:p>
    <w:p>
      <w:pPr>
        <w:spacing w:line="360" w:lineRule="auto" w:before="0" w:after="0"/>
        <w:ind w:firstLine="0" w:left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2. 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Целевой oversampling редких классов — повторное включение снимков с низкочастотными патологиями под более агрессивные аугментации; коэффициент дисбаланса падает с 5.91 до 3.92.</w:t>
      </w:r>
    </w:p>
    <w:p>
      <w:pPr>
        <w:spacing w:line="360" w:lineRule="auto" w:before="0" w:after="0"/>
        <w:ind w:firstLine="0" w:left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3. 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Генеративное расширение через диффузионную модель Stable Diffusion в режиме img2img — синтез новых полевых кадров с преобладанием редких патологий; в отличие от oversampling даёт уникальный визуальный материал.</w:t>
      </w:r>
    </w:p>
    <w:p>
      <w:pPr>
        <w:pStyle w:val="Heading3"/>
        <w:keepNext/>
        <w:spacing w:before="240" w:after="120" w:line="360" w:lineRule="auto"/>
        <w:ind w:firstLine="709"/>
        <w:jc w:val="left"/>
        <w:outlineLvl w:val="2"/>
      </w:pPr>
      <w:r>
        <w:rPr>
          <w:rFonts w:ascii="Times New Roman" w:hAnsi="Times New Roman" w:cs="Times New Roman" w:eastAsia="Times New Roman"/>
          <w:b w:val="0"/>
          <w:sz w:val="28"/>
        </w:rPr>
        <w:t>2.2 Базовый детектор и модуль контекстной модуляции</w:t>
      </w:r>
    </w:p>
    <w:p>
      <w:pPr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качестве базового детектора выбран YOLOv12 — поколение семейства YOLO 2025 года, в котором внимание впервые встроено напрямую в backbone. Архитектура трёхкомпонентная: backbone на CSPDarknet с блоками Area Attention достаёт иерархические признаки; neck в виде Path Aggregation Network сводит признаки трёх масштабов P3, P4, P5; detection head даёт безъякорные предсказания с задачно-ориентированным присвоением. Используется конфигурация medium — 20.1 млн параметров, вход 640×640, инициализация COCO-весами.</w:t>
      </w:r>
    </w:p>
    <w:p>
      <w:pPr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Слабое место существующих детекторов — глобальная структура сцены явно не подаётся в детекционную голову: признаки строятся из локальных рецептивных полей. Самореферентное внимание (SE-Net, CBAM) рекалибрует карты признаков на основе их же содержимого; позднее слияние подключает контекст уже после детекции и не лечит ни ложноположительные, ни пропущенные срабатывания. Чтобы обойти эти ограничения, в детектор был встроен модуль контекстной модуляции признаков — Context-Gated Feature Modulation (CGFM). В его основе — FiLM, перенесённый из задач визуального вопросно-ответного анализа в neck объектного детектора. FiLM-слой получает из внешнего вектора контекста </w:t>
      </w:r>
      <m:oMath>
        <m:r>
          <m:t>c</m:t>
        </m:r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два набора коэффициентов и выполняет поканальное аффинное преобразование карты </w:t>
      </w:r>
      <m:oMath>
        <m:r>
          <m:t>F</m:t>
        </m:r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>:</w:t>
      </w:r>
    </w:p>
    <w:p>
      <w:pPr>
        <w:spacing w:line="276" w:lineRule="auto" w:before="120" w:after="120"/>
        <w:ind w:firstLine="0"/>
        <w:jc w:val="center"/>
      </w:pPr>
      <m:oMathPara>
        <m:oMathParaPr>
          <m:jc m:val="center"/>
        </m:oMathParaPr>
        <m:oMath>
          <m:r>
            <m:t>F</m:t>
          </m:r>
          <m:sSub>
            <m:e>
              <m:r>
                <m:t>′</m:t>
              </m:r>
            </m:e>
            <m:sub>
              <m:r>
                <m:t>b</m:t>
              </m:r>
              <m:r>
                <m:t>,</m:t>
              </m:r>
              <m:r>
                <m:t>k</m:t>
              </m:r>
              <m:r>
                <m:t>,</m:t>
              </m:r>
              <m:r>
                <m:t>i</m:t>
              </m:r>
              <m:r>
                <m:t>,</m:t>
              </m:r>
              <m:r>
                <m:t>j</m:t>
              </m:r>
            </m:sub>
          </m:sSub>
          <m:r>
            <m:t>=</m:t>
          </m:r>
          <m:sSub>
            <m:e>
              <m:r>
                <m:t>γ</m:t>
              </m:r>
            </m:e>
            <m:sub>
              <m:r>
                <m:t>k</m:t>
              </m:r>
            </m:sub>
          </m:sSub>
          <m:r>
            <m:t>⋅</m:t>
          </m:r>
          <m:sSub>
            <m:e>
              <m:r>
                <m:t>F</m:t>
              </m:r>
            </m:e>
            <m:sub>
              <m:r>
                <m:t>b</m:t>
              </m:r>
              <m:r>
                <m:t>,</m:t>
              </m:r>
              <m:r>
                <m:t>k</m:t>
              </m:r>
              <m:r>
                <m:t>,</m:t>
              </m:r>
              <m:r>
                <m:t>i</m:t>
              </m:r>
              <m:r>
                <m:t>,</m:t>
              </m:r>
              <m:r>
                <m:t>j</m:t>
              </m:r>
            </m:sub>
          </m:sSub>
          <m:r>
            <m:t>+</m:t>
          </m:r>
          <m:sSub>
            <m:e>
              <m:r>
                <m:t>β</m:t>
              </m:r>
            </m:e>
            <m:sub>
              <m:r>
                <m:t>k</m:t>
              </m:r>
            </m:sub>
          </m:sSub>
        </m:oMath>
      </m:oMathPara>
    </w:p>
    <w:p>
      <w:pPr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Каждый канал умножается на свой </w:t>
      </w:r>
      <m:oMath>
        <m:sSub>
          <m:e>
            <m:r>
              <m:t>γ</m:t>
            </m:r>
          </m:e>
          <m:sub>
            <m:r>
              <m:t>k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и сдвигается на </w:t>
      </w:r>
      <m:oMath>
        <m:sSub>
          <m:e>
            <m:r>
              <m:t>β</m:t>
            </m:r>
          </m:e>
          <m:sub>
            <m:r>
              <m:t>k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>; пространственные позиции получают единое преобразование. Глобальная характеристика сцены тем самым превращается в согласованную перенастройку всех локальных признаков. Архитектура модуля и точка его встраивания показаны на рисунке 1.</w:t>
      </w:r>
    </w:p>
    <w:p>
      <w:pPr>
        <w:spacing w:before="120" w:after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27490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4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49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60" w:after="2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1 — Архитектура модуля контекстной модуляции признаков CGFM</w:t>
      </w:r>
    </w:p>
    <w:p>
      <w:pPr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Контекстный энкодер построен на MobileNetV3-Small; его выход прогоняется через проекционную головку с глобальным средним пулингом, нормализацией и линейным отображением в 256-мерное пространство. Параметризация </w:t>
      </w:r>
      <m:oMath>
        <m:r>
          <m:t>γ</m:t>
        </m:r>
        <m:r>
          <m:t>=</m:t>
        </m:r>
        <m:r>
          <m:t>1</m:t>
        </m:r>
        <m:r>
          <m:t>+</m:t>
        </m:r>
        <m:r>
          <m:t>0.5</m:t>
        </m:r>
        <m:r>
          <m:t>⋅</m:t>
        </m:r>
        <m:r>
          <m:rPr>
            <m:nor/>
            <m:sty m:val="p"/>
          </m:rPr>
          <m:t>tanh</m:t>
        </m:r>
        <m:r>
          <m:t>(</m:t>
        </m:r>
        <m:r>
          <m:t>⋅</m:t>
        </m:r>
        <m:r>
          <m:t>)</m:t>
        </m:r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удерживает </w:t>
      </w:r>
      <m:oMath>
        <m:r>
          <m:t>γ</m:t>
        </m:r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в диапазоне </w:t>
      </w:r>
      <m:oMath>
        <m:r>
          <m:t>(</m:t>
        </m:r>
        <m:r>
          <m:t>0.5</m:t>
        </m:r>
        <m:r>
          <m:t>,</m:t>
        </m:r>
        <m:r>
          <m:t>1.5</m:t>
        </m:r>
        <m:r>
          <m:t>)</m:t>
        </m:r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и при нулевой инициализации даёт тождественное преобразование — обучение стартует с состояния, неотличимого от baseline. Дополнительный бюджет — около 2.44 млн параметров, или примерно 12 % к исходным 20.14 млн.</w:t>
      </w:r>
    </w:p>
    <w:p>
      <w:pPr>
        <w:pStyle w:val="Heading3"/>
        <w:keepNext/>
        <w:spacing w:before="240" w:after="120" w:line="360" w:lineRule="auto"/>
        <w:ind w:firstLine="709"/>
        <w:jc w:val="left"/>
        <w:outlineLvl w:val="2"/>
      </w:pPr>
      <w:r>
        <w:rPr>
          <w:rFonts w:ascii="Times New Roman" w:hAnsi="Times New Roman" w:cs="Times New Roman" w:eastAsia="Times New Roman"/>
          <w:b w:val="0"/>
          <w:sz w:val="28"/>
        </w:rPr>
        <w:t>2.3 Программные средства</w:t>
      </w:r>
    </w:p>
    <w:p>
      <w:pPr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Детектор собран на Python с PyTorch и Ultralytics. Подготовка данных — Albumentations, генеративное расширение — Stable Diffusion. Серверная часть написана на FastAPI поверх SQLAlchemy, клиентская — на Next.js с компонентами Ant Design. Хранилище — PostgreSQL с типом JSONB для полуструктурированных полей. Текстовые пояснения выдаёт локально развёрнутая визуально-языковая модель Qwen-3 8B. Развёртывание — Docker Compose.</w:t>
      </w:r>
    </w:p>
    <w:p>
      <w:pPr>
        <w:pStyle w:val="Heading2"/>
        <w:keepNext/>
        <w:spacing w:before="240" w:after="120" w:line="360" w:lineRule="auto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 w:val="0"/>
          <w:sz w:val="28"/>
        </w:rPr>
        <w:t>3 Основные результаты работы информационной системы</w:t>
      </w:r>
    </w:p>
    <w:p>
      <w:pPr>
        <w:pStyle w:val="Heading3"/>
        <w:keepNext/>
        <w:spacing w:before="240" w:after="120" w:line="360" w:lineRule="auto"/>
        <w:ind w:firstLine="709"/>
        <w:jc w:val="left"/>
        <w:outlineLvl w:val="2"/>
      </w:pPr>
      <w:r>
        <w:rPr>
          <w:rFonts w:ascii="Times New Roman" w:hAnsi="Times New Roman" w:cs="Times New Roman" w:eastAsia="Times New Roman"/>
          <w:b w:val="0"/>
          <w:sz w:val="28"/>
        </w:rPr>
        <w:t>3.1 Архитектура системы</w:t>
      </w:r>
    </w:p>
    <w:p>
      <w:pPr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Информационная система реализована как клиент-серверный веб-сервис с расчётом на работу агронома прямо в поле: пользователь загружает фотографию и получает в ответ список регионов поражения с диагнозами, оценками уверенности и рекомендациями. Общая схема — на рисунке 2.</w:t>
      </w:r>
    </w:p>
    <w:p>
      <w:pPr>
        <w:spacing w:before="120" w:after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370333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703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60" w:after="2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2 — Архитектура информационной системы диагностики</w:t>
      </w:r>
    </w:p>
    <w:p>
      <w:pPr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Архитектура трёхслойная. Уровень представления — одностраничное веб-приложение, реализующее загрузку и визуализацию. Уровень бизнес-логики — API-сервис, оркестрирующий пайплайн (детектор → языковая модель → рекомендации) и пишущий результат в базу. Уровень хранения — реляционная база с двумя связанными сущностями. Детектор и LLM работают локально на одной машине, но в разных контейнерах: их жизненные циклы независимы.</w:t>
      </w:r>
    </w:p>
    <w:p>
      <w:pPr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Достигнутые на тестовой выборке метрики качества для финальной конфигурации YOLOv12 с модулем CGFM сведены в таблице 2.</w:t>
      </w:r>
    </w:p>
    <w:p>
      <w:pPr>
        <w:keepNext/>
        <w:spacing w:line="276" w:lineRule="auto" w:before="240" w:after="6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2 — Качество лучшей конфигурации детектора (тест, 1334 изображения)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938"/>
        <w:gridCol w:w="1938"/>
        <w:gridCol w:w="1938"/>
        <w:gridCol w:w="1938"/>
        <w:gridCol w:w="1938"/>
      </w:tblGrid>
      <w:tr>
        <w:trPr>
          <w:cantSplit/>
          <w:tblHeader/>
          <w:trHeight w:val="360" w:hRule="atLeast"/>
        </w:trPr>
        <w:tc>
          <w:tcPr>
            <w:tcW w:type="dxa" w:w="1938"/>
            <w:vAlign w:val="center"/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Конфигурация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mAP@50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mAP@50-95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Precision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Recall</w:t>
            </w:r>
          </w:p>
        </w:tc>
      </w:tr>
      <w:tr>
        <w:trPr>
          <w:cantSplit/>
          <w:trHeight w:val="360" w:hRule="atLeast"/>
        </w:trPr>
        <w:tc>
          <w:tcPr>
            <w:tcW w:type="dxa" w:w="1938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Базовая YOLOv12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0.651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0.365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0.820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0.700</w:t>
            </w:r>
          </w:p>
        </w:tc>
      </w:tr>
      <w:tr>
        <w:trPr>
          <w:cantSplit/>
          <w:trHeight w:val="360" w:hRule="atLeast"/>
        </w:trPr>
        <w:tc>
          <w:tcPr>
            <w:tcW w:type="dxa" w:w="1938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YOLOv12 + CGFM (P5-only)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0.678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0.390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0.847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0.735</w:t>
            </w:r>
          </w:p>
        </w:tc>
      </w:tr>
      <w:tr>
        <w:trPr>
          <w:cantSplit/>
          <w:trHeight w:val="360" w:hRule="atLeast"/>
        </w:trPr>
        <w:tc>
          <w:tcPr>
            <w:tcW w:type="dxa" w:w="1938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Прирост, п.п.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+2.7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+2.5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+2.7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+3.5</w:t>
            </w:r>
          </w:p>
        </w:tc>
      </w:tr>
    </w:tbl>
    <w:p>
      <w:pPr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Архитектурная независимость метода подтверждена на RT-DETR — трансформерном детекторе принципиально иной парадигмы; интеграция CGFM дала там +3.3 п.п. mAP@50 и +3.4 п.п. mAP@50-95.</w:t>
      </w:r>
    </w:p>
    <w:p>
      <w:pPr>
        <w:pStyle w:val="Heading3"/>
        <w:keepNext/>
        <w:spacing w:before="240" w:after="120" w:line="360" w:lineRule="auto"/>
        <w:ind w:firstLine="709"/>
        <w:jc w:val="left"/>
        <w:outlineLvl w:val="2"/>
      </w:pPr>
      <w:r>
        <w:rPr>
          <w:rFonts w:ascii="Times New Roman" w:hAnsi="Times New Roman" w:cs="Times New Roman" w:eastAsia="Times New Roman"/>
          <w:b w:val="0"/>
          <w:sz w:val="28"/>
        </w:rPr>
        <w:t>3.2 Web-приложение, API и хранилище</w:t>
      </w:r>
    </w:p>
    <w:p>
      <w:pPr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Клиент — одностраничное приложение на Next.js / Ant Design. Главный экран содержит зону drag-and-drop и блок результатов: после загрузки файл уходит на серверный эндпоинт, на экране появляется индикатор прогресса; по получении ответа поверх изображения отрисовываются прямоугольники найденных регионов, рядом раскладываются карточки с описанием, оценкой уверенности и списком агрономических рекомендаций. Координаты прямоугольников пересчитываются при ресайзе окна; если детектор ничего не нашёл, выводится сообщение об отсутствии признаков заболеваний.</w:t>
      </w:r>
    </w:p>
    <w:p>
      <w:pPr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Серверная сторона построена на FastAPI и предоставляет публичный контракт из пяти эндпоинтов (таблица 3). Пайплайн — четыре последовательных шага: бинарный фильтр пшеница/патология; детектор YOLOv12 с CGFM на входе 640×640, выдающий регионы с распределениями по девяти классам; генерация пояснений Qwen-3 8B (один вызов на регион, в модель уходит только текст — имя класса-победителя, топ-3 кандидата, положение); сохранение в БД и формирование ответа.</w:t>
      </w:r>
    </w:p>
    <w:p>
      <w:pPr>
        <w:keepNext/>
        <w:spacing w:line="276" w:lineRule="auto" w:before="240" w:after="6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3 — Публичные эндпоинты API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230"/>
        <w:gridCol w:w="3230"/>
        <w:gridCol w:w="3230"/>
      </w:tblGrid>
      <w:tr>
        <w:trPr>
          <w:cantSplit/>
          <w:tblHeader/>
          <w:trHeight w:val="360" w:hRule="atLeast"/>
        </w:trPr>
        <w:tc>
          <w:tcPr>
            <w:tcW w:type="dxa" w:w="3230"/>
            <w:vAlign w:val="center"/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Метод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Путь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Назначение</w:t>
            </w:r>
          </w:p>
        </w:tc>
      </w:tr>
      <w:tr>
        <w:trPr>
          <w:cantSplit/>
          <w:trHeight w:val="360" w:hRule="atLeast"/>
        </w:trPr>
        <w:tc>
          <w:tcPr>
            <w:tcW w:type="dxa" w:w="3230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POST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/api/scan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Полный пайплайн диагностики</w:t>
            </w:r>
          </w:p>
        </w:tc>
      </w:tr>
      <w:tr>
        <w:trPr>
          <w:cantSplit/>
          <w:trHeight w:val="360" w:hRule="atLeast"/>
        </w:trPr>
        <w:tc>
          <w:tcPr>
            <w:tcW w:type="dxa" w:w="3230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GET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/api/scan/{id}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Результат конкретного скана</w:t>
            </w:r>
          </w:p>
        </w:tc>
      </w:tr>
      <w:tr>
        <w:trPr>
          <w:cantSplit/>
          <w:trHeight w:val="360" w:hRule="atLeast"/>
        </w:trPr>
        <w:tc>
          <w:tcPr>
            <w:tcW w:type="dxa" w:w="3230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GET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/api/scans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История сканов</w:t>
            </w:r>
          </w:p>
        </w:tc>
      </w:tr>
      <w:tr>
        <w:trPr>
          <w:cantSplit/>
          <w:trHeight w:val="360" w:hRule="atLeast"/>
        </w:trPr>
        <w:tc>
          <w:tcPr>
            <w:tcW w:type="dxa" w:w="3230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GET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/api/image/{id}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Оригинальное изображение</w:t>
            </w:r>
          </w:p>
        </w:tc>
      </w:tr>
      <w:tr>
        <w:trPr>
          <w:cantSplit/>
          <w:trHeight w:val="360" w:hRule="atLeast"/>
        </w:trPr>
        <w:tc>
          <w:tcPr>
            <w:tcW w:type="dxa" w:w="3230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GET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/health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Liveness-проба</w:t>
            </w:r>
          </w:p>
        </w:tc>
      </w:tr>
    </w:tbl>
    <w:p>
      <w:pPr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Данные в PostgreSQL разложены по двум связанным сущностям: «скан» содержит метаданные изображения, результат бинарного фильтра, итоговый диагноз и статус обработки; «регион» — координаты очага, распределение вероятностей, описание и рекомендации, привязан к родительскому скану внешним ключом. Распределения и списки рекомендаций хранятся в JSONB, что позволяет индексировать вложенные атрибуты без отдельных таблиц. Весь стенд (СУБД, бэкенд, сервис LLM, фронтенд) поднимается одной командой Docker Compose.</w:t>
      </w:r>
    </w:p>
    <w:p>
      <w:pPr>
        <w:pStyle w:val="Heading2"/>
        <w:keepNext/>
        <w:spacing w:before="240" w:after="120" w:line="360" w:lineRule="auto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 w:val="0"/>
          <w:sz w:val="28"/>
        </w:rPr>
        <w:t>4 Методы и средства тестирования информационной системы</w:t>
      </w:r>
    </w:p>
    <w:p>
      <w:pPr>
        <w:pStyle w:val="Heading3"/>
        <w:keepNext/>
        <w:spacing w:before="240" w:after="120" w:line="360" w:lineRule="auto"/>
        <w:ind w:firstLine="709"/>
        <w:jc w:val="left"/>
        <w:outlineLvl w:val="2"/>
      </w:pPr>
      <w:r>
        <w:rPr>
          <w:rFonts w:ascii="Times New Roman" w:hAnsi="Times New Roman" w:cs="Times New Roman" w:eastAsia="Times New Roman"/>
          <w:b w:val="0"/>
          <w:sz w:val="28"/>
        </w:rPr>
        <w:t>4.1 Подходы и средства</w:t>
      </w:r>
    </w:p>
    <w:p>
      <w:pPr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Поскольку центральный компонент системы — обученная модель глубокого обучения, обычное функциональное тестирование пришлось расширить специфическими методами оценки. Применённые подходы — модульные тесты на pytest для отдельных функций и классов; интеграционные тесты сетевых контрактов через httpx с эмуляцией клиента; оценка предсказательной способности детектора на отложенной тестовой выборке по стандартным метрикам компьютерного зрения; нагрузочное тестирование и профилирование сквозного пайплайна с контролем ресурсопотребления через nvidia-smi и docker stats. Качество модели оценивалось через Precision (доля корректных в положительных предсказаниях), Recall (доля найденных в реальных объектах), mAP@50 (средняя точность при пороге IoU = 0.50) и mAP@50-95 (её усреднение по диапазону порогов IoU 0.50–0.95).</w:t>
      </w:r>
    </w:p>
    <w:p>
      <w:pPr>
        <w:pStyle w:val="Heading3"/>
        <w:keepNext/>
        <w:spacing w:before="240" w:after="120" w:line="360" w:lineRule="auto"/>
        <w:ind w:firstLine="709"/>
        <w:jc w:val="left"/>
        <w:outlineLvl w:val="2"/>
      </w:pPr>
      <w:r>
        <w:rPr>
          <w:rFonts w:ascii="Times New Roman" w:hAnsi="Times New Roman" w:cs="Times New Roman" w:eastAsia="Times New Roman"/>
          <w:b w:val="0"/>
          <w:sz w:val="28"/>
        </w:rPr>
        <w:t>4.2 Проведённое тестирование</w:t>
      </w:r>
    </w:p>
    <w:p>
      <w:pPr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Все обученные модели проверялись на едином отложенном тестовом сплите объёмом 1334 изображения и 4930 аннотаций. Сводка по шести конфигурациям модуля контекстной модуляции — от чистого детектора до CGFM в оптимальном виде — приведена в таблице 4.</w:t>
      </w:r>
    </w:p>
    <w:p>
      <w:pPr>
        <w:keepNext/>
        <w:spacing w:line="276" w:lineRule="auto" w:before="240" w:after="6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4 — Результаты тестирования конфигураций детектора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rPr>
          <w:cantSplit/>
          <w:tblHeader/>
          <w:trHeight w:val="360" w:hRule="atLeast"/>
        </w:trPr>
        <w:tc>
          <w:tcPr>
            <w:tcW w:type="dxa" w:w="1384"/>
            <w:vAlign w:val="center"/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Конфигурация</w:t>
            </w:r>
          </w:p>
        </w:tc>
        <w:tc>
          <w:tcPr>
            <w:tcW w:type="dxa" w:w="1384"/>
            <w:vAlign w:val="center"/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Эпох</w:t>
            </w:r>
          </w:p>
        </w:tc>
        <w:tc>
          <w:tcPr>
            <w:tcW w:type="dxa" w:w="1384"/>
            <w:vAlign w:val="center"/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mAP@50</w:t>
            </w:r>
          </w:p>
        </w:tc>
        <w:tc>
          <w:tcPr>
            <w:tcW w:type="dxa" w:w="1384"/>
            <w:vAlign w:val="center"/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mAP@50-95</w:t>
            </w:r>
          </w:p>
        </w:tc>
        <w:tc>
          <w:tcPr>
            <w:tcW w:type="dxa" w:w="1384"/>
            <w:vAlign w:val="center"/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Precision</w:t>
            </w:r>
          </w:p>
        </w:tc>
        <w:tc>
          <w:tcPr>
            <w:tcW w:type="dxa" w:w="1384"/>
            <w:vAlign w:val="center"/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Recall</w:t>
            </w:r>
          </w:p>
        </w:tc>
        <w:tc>
          <w:tcPr>
            <w:tcW w:type="dxa" w:w="1384"/>
            <w:vAlign w:val="center"/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Δ mAP@50</w:t>
            </w:r>
          </w:p>
        </w:tc>
      </w:tr>
      <w:tr>
        <w:trPr>
          <w:cantSplit/>
          <w:trHeight w:val="360" w:hRule="atLeast"/>
        </w:trPr>
        <w:tc>
          <w:tcPr>
            <w:tcW w:type="dxa" w:w="1384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Baseline</w:t>
            </w:r>
          </w:p>
        </w:tc>
        <w:tc>
          <w:tcPr>
            <w:tcW w:type="dxa" w:w="1384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98</w:t>
            </w:r>
          </w:p>
        </w:tc>
        <w:tc>
          <w:tcPr>
            <w:tcW w:type="dxa" w:w="1384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0.651</w:t>
            </w:r>
          </w:p>
        </w:tc>
        <w:tc>
          <w:tcPr>
            <w:tcW w:type="dxa" w:w="1384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0.365</w:t>
            </w:r>
          </w:p>
        </w:tc>
        <w:tc>
          <w:tcPr>
            <w:tcW w:type="dxa" w:w="1384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0.820</w:t>
            </w:r>
          </w:p>
        </w:tc>
        <w:tc>
          <w:tcPr>
            <w:tcW w:type="dxa" w:w="1384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0.700</w:t>
            </w:r>
          </w:p>
        </w:tc>
        <w:tc>
          <w:tcPr>
            <w:tcW w:type="dxa" w:w="1384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</w:t>
            </w:r>
          </w:p>
        </w:tc>
      </w:tr>
      <w:tr>
        <w:trPr>
          <w:cantSplit/>
          <w:trHeight w:val="360" w:hRule="atLeast"/>
        </w:trPr>
        <w:tc>
          <w:tcPr>
            <w:tcW w:type="dxa" w:w="1384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Late Fusion</w:t>
            </w:r>
          </w:p>
        </w:tc>
        <w:tc>
          <w:tcPr>
            <w:tcW w:type="dxa" w:w="1384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6</w:t>
            </w:r>
          </w:p>
        </w:tc>
        <w:tc>
          <w:tcPr>
            <w:tcW w:type="dxa" w:w="1384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0.588</w:t>
            </w:r>
          </w:p>
        </w:tc>
        <w:tc>
          <w:tcPr>
            <w:tcW w:type="dxa" w:w="1384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0.305</w:t>
            </w:r>
          </w:p>
        </w:tc>
        <w:tc>
          <w:tcPr>
            <w:tcW w:type="dxa" w:w="1384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0.755</w:t>
            </w:r>
          </w:p>
        </w:tc>
        <w:tc>
          <w:tcPr>
            <w:tcW w:type="dxa" w:w="1384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0.620</w:t>
            </w:r>
          </w:p>
        </w:tc>
        <w:tc>
          <w:tcPr>
            <w:tcW w:type="dxa" w:w="1384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−6.3</w:t>
            </w:r>
          </w:p>
        </w:tc>
      </w:tr>
      <w:tr>
        <w:trPr>
          <w:cantSplit/>
          <w:trHeight w:val="360" w:hRule="atLeast"/>
        </w:trPr>
        <w:tc>
          <w:tcPr>
            <w:tcW w:type="dxa" w:w="1384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SE-Neck</w:t>
            </w:r>
          </w:p>
        </w:tc>
        <w:tc>
          <w:tcPr>
            <w:tcW w:type="dxa" w:w="1384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29</w:t>
            </w:r>
          </w:p>
        </w:tc>
        <w:tc>
          <w:tcPr>
            <w:tcW w:type="dxa" w:w="1384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0.643</w:t>
            </w:r>
          </w:p>
        </w:tc>
        <w:tc>
          <w:tcPr>
            <w:tcW w:type="dxa" w:w="1384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0.358</w:t>
            </w:r>
          </w:p>
        </w:tc>
        <w:tc>
          <w:tcPr>
            <w:tcW w:type="dxa" w:w="1384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0.811</w:t>
            </w:r>
          </w:p>
        </w:tc>
        <w:tc>
          <w:tcPr>
            <w:tcW w:type="dxa" w:w="1384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0.690</w:t>
            </w:r>
          </w:p>
        </w:tc>
        <w:tc>
          <w:tcPr>
            <w:tcW w:type="dxa" w:w="1384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−0.8</w:t>
            </w:r>
          </w:p>
        </w:tc>
      </w:tr>
      <w:tr>
        <w:trPr>
          <w:cantSplit/>
          <w:trHeight w:val="360" w:hRule="atLeast"/>
        </w:trPr>
        <w:tc>
          <w:tcPr>
            <w:tcW w:type="dxa" w:w="1384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CBAM-Neck</w:t>
            </w:r>
          </w:p>
        </w:tc>
        <w:tc>
          <w:tcPr>
            <w:tcW w:type="dxa" w:w="1384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28</w:t>
            </w:r>
          </w:p>
        </w:tc>
        <w:tc>
          <w:tcPr>
            <w:tcW w:type="dxa" w:w="1384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0.652</w:t>
            </w:r>
          </w:p>
        </w:tc>
        <w:tc>
          <w:tcPr>
            <w:tcW w:type="dxa" w:w="1384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0.366</w:t>
            </w:r>
          </w:p>
        </w:tc>
        <w:tc>
          <w:tcPr>
            <w:tcW w:type="dxa" w:w="1384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0.821</w:t>
            </w:r>
          </w:p>
        </w:tc>
        <w:tc>
          <w:tcPr>
            <w:tcW w:type="dxa" w:w="1384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0.701</w:t>
            </w:r>
          </w:p>
        </w:tc>
        <w:tc>
          <w:tcPr>
            <w:tcW w:type="dxa" w:w="1384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+0.1</w:t>
            </w:r>
          </w:p>
        </w:tc>
      </w:tr>
      <w:tr>
        <w:trPr>
          <w:cantSplit/>
          <w:trHeight w:val="360" w:hRule="atLeast"/>
        </w:trPr>
        <w:tc>
          <w:tcPr>
            <w:tcW w:type="dxa" w:w="1384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CGFM (P3+P4+P5)</w:t>
            </w:r>
          </w:p>
        </w:tc>
        <w:tc>
          <w:tcPr>
            <w:tcW w:type="dxa" w:w="1384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26</w:t>
            </w:r>
          </w:p>
        </w:tc>
        <w:tc>
          <w:tcPr>
            <w:tcW w:type="dxa" w:w="1384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0.660</w:t>
            </w:r>
          </w:p>
        </w:tc>
        <w:tc>
          <w:tcPr>
            <w:tcW w:type="dxa" w:w="1384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0.373</w:t>
            </w:r>
          </w:p>
        </w:tc>
        <w:tc>
          <w:tcPr>
            <w:tcW w:type="dxa" w:w="1384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0.833</w:t>
            </w:r>
          </w:p>
        </w:tc>
        <w:tc>
          <w:tcPr>
            <w:tcW w:type="dxa" w:w="1384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0.708</w:t>
            </w:r>
          </w:p>
        </w:tc>
        <w:tc>
          <w:tcPr>
            <w:tcW w:type="dxa" w:w="1384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+0.9</w:t>
            </w:r>
          </w:p>
        </w:tc>
      </w:tr>
      <w:tr>
        <w:trPr>
          <w:cantSplit/>
          <w:trHeight w:val="360" w:hRule="atLeast"/>
        </w:trPr>
        <w:tc>
          <w:tcPr>
            <w:tcW w:type="dxa" w:w="1384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CGFM (P5-only)</w:t>
            </w:r>
          </w:p>
        </w:tc>
        <w:tc>
          <w:tcPr>
            <w:tcW w:type="dxa" w:w="1384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21</w:t>
            </w:r>
          </w:p>
        </w:tc>
        <w:tc>
          <w:tcPr>
            <w:tcW w:type="dxa" w:w="1384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0.678</w:t>
            </w:r>
          </w:p>
        </w:tc>
        <w:tc>
          <w:tcPr>
            <w:tcW w:type="dxa" w:w="1384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0.390</w:t>
            </w:r>
          </w:p>
        </w:tc>
        <w:tc>
          <w:tcPr>
            <w:tcW w:type="dxa" w:w="1384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0.847</w:t>
            </w:r>
          </w:p>
        </w:tc>
        <w:tc>
          <w:tcPr>
            <w:tcW w:type="dxa" w:w="1384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0.735</w:t>
            </w:r>
          </w:p>
        </w:tc>
        <w:tc>
          <w:tcPr>
            <w:tcW w:type="dxa" w:w="1384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+2.7</w:t>
            </w:r>
          </w:p>
        </w:tc>
      </w:tr>
    </w:tbl>
    <w:p>
      <w:pPr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Картина предсказуемая: позднее слияние просаживает baseline на 6.3 п.п. — дополнительный классификатор ломает уже правильные предсказания на ложноположительных регионах. Самореферентное внимание даёт прирост в пределах шума: вектор весов вычисляется из тех же признаков, что и модулируются, новой информации нет. Реальное улучшение даёт только CGFM, причём сильнее всего в варианте FiLM-модуляции исключительно на верхнем уровне P5 — +2.7 п.п. mAP@50, и сходимость заметно быстрее (21 эпоха вместо 98).</w:t>
      </w:r>
    </w:p>
    <w:p>
      <w:pPr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Профилирование полного запроса на типичном снимке с двумя регионами поражения, усреднение по 20 запускам — в таблице 5.</w:t>
      </w:r>
    </w:p>
    <w:p>
      <w:pPr>
        <w:keepNext/>
        <w:spacing w:line="276" w:lineRule="auto" w:before="240" w:after="6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5 — Время выполнения этапов пайплайна (среднее по 20 запускам, 2 региона)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230"/>
        <w:gridCol w:w="3230"/>
        <w:gridCol w:w="3230"/>
      </w:tblGrid>
      <w:tr>
        <w:trPr>
          <w:cantSplit/>
          <w:tblHeader/>
          <w:trHeight w:val="360" w:hRule="atLeast"/>
        </w:trPr>
        <w:tc>
          <w:tcPr>
            <w:tcW w:type="dxa" w:w="3230"/>
            <w:vAlign w:val="center"/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Этап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Время, с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Доля, %</w:t>
            </w:r>
          </w:p>
        </w:tc>
      </w:tr>
      <w:tr>
        <w:trPr>
          <w:cantSplit/>
          <w:trHeight w:val="360" w:hRule="atLeast"/>
        </w:trPr>
        <w:tc>
          <w:tcPr>
            <w:tcW w:type="dxa" w:w="3230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Бинарный фильтр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0.04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&lt;1</w:t>
            </w:r>
          </w:p>
        </w:tc>
      </w:tr>
      <w:tr>
        <w:trPr>
          <w:cantSplit/>
          <w:trHeight w:val="360" w:hRule="atLeast"/>
        </w:trPr>
        <w:tc>
          <w:tcPr>
            <w:tcW w:type="dxa" w:w="3230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Детектор YOLOv12 + CGFM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0.23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</w:t>
            </w:r>
          </w:p>
        </w:tc>
      </w:tr>
      <w:tr>
        <w:trPr>
          <w:cantSplit/>
          <w:trHeight w:val="360" w:hRule="atLeast"/>
        </w:trPr>
        <w:tc>
          <w:tcPr>
            <w:tcW w:type="dxa" w:w="3230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Генерация (Qwen-3 8B, 2 региона)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7.94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93</w:t>
            </w:r>
          </w:p>
        </w:tc>
      </w:tr>
      <w:tr>
        <w:trPr>
          <w:cantSplit/>
          <w:trHeight w:val="360" w:hRule="atLeast"/>
        </w:trPr>
        <w:tc>
          <w:tcPr>
            <w:tcW w:type="dxa" w:w="3230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База, сериализация, сеть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0.31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4</w:t>
            </w:r>
          </w:p>
        </w:tc>
      </w:tr>
      <w:tr>
        <w:trPr>
          <w:cantSplit/>
          <w:trHeight w:val="360" w:hRule="atLeast"/>
        </w:trPr>
        <w:tc>
          <w:tcPr>
            <w:tcW w:type="dxa" w:w="3230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Итого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8.52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100</w:t>
            </w:r>
          </w:p>
        </w:tc>
      </w:tr>
    </w:tbl>
    <w:p>
      <w:pPr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Узкое место — генерация: на каждый регион нужен отдельный вызов LLM, последовательно сериализуемый через семафор во избежание гонки за видеопамять. Снимок с одним регионом обрабатывается за ~4 с, с четырьмя — около 16 с, дальше время растёт практически линейно.</w:t>
      </w:r>
    </w:p>
    <w:p>
      <w:pPr>
        <w:pStyle w:val="Heading3"/>
        <w:keepNext/>
        <w:spacing w:before="240" w:after="120" w:line="360" w:lineRule="auto"/>
        <w:ind w:firstLine="709"/>
        <w:jc w:val="left"/>
        <w:outlineLvl w:val="2"/>
      </w:pPr>
      <w:r>
        <w:rPr>
          <w:rFonts w:ascii="Times New Roman" w:hAnsi="Times New Roman" w:cs="Times New Roman" w:eastAsia="Times New Roman"/>
          <w:b w:val="0"/>
          <w:sz w:val="28"/>
        </w:rPr>
        <w:t>4.3 Граничные условия применимости</w:t>
      </w:r>
    </w:p>
    <w:p>
      <w:pPr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 итогам тестов определены границы применимости системы (таблица 6).</w:t>
      </w:r>
    </w:p>
    <w:p>
      <w:pPr>
        <w:keepNext/>
        <w:spacing w:line="276" w:lineRule="auto" w:before="240" w:after="6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6 — Граничные условия применимости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844"/>
        <w:gridCol w:w="4844"/>
      </w:tblGrid>
      <w:tr>
        <w:trPr>
          <w:cantSplit/>
          <w:tblHeader/>
          <w:trHeight w:val="360" w:hRule="atLeast"/>
        </w:trPr>
        <w:tc>
          <w:tcPr>
            <w:tcW w:type="dxa" w:w="4844"/>
            <w:vAlign w:val="center"/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Параметр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Допустимый диапазон</w:t>
            </w:r>
          </w:p>
        </w:tc>
      </w:tr>
      <w:tr>
        <w:trPr>
          <w:cantSplit/>
          <w:trHeight w:val="360" w:hRule="atLeast"/>
        </w:trPr>
        <w:tc>
          <w:tcPr>
            <w:tcW w:type="dxa" w:w="4844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Целевая культура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Пшеница (озимая, яровая)</w:t>
            </w:r>
          </w:p>
        </w:tc>
      </w:tr>
      <w:tr>
        <w:trPr>
          <w:cantSplit/>
          <w:trHeight w:val="360" w:hRule="atLeast"/>
        </w:trPr>
        <w:tc>
          <w:tcPr>
            <w:tcW w:type="dxa" w:w="4844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Целевые патологии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Девять классов из обучающего набора</w:t>
            </w:r>
          </w:p>
        </w:tc>
      </w:tr>
      <w:tr>
        <w:trPr>
          <w:cantSplit/>
          <w:trHeight w:val="360" w:hRule="atLeast"/>
        </w:trPr>
        <w:tc>
          <w:tcPr>
            <w:tcW w:type="dxa" w:w="4844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Минимальное разрешение снимка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640×640 пикселей (после ресайза)</w:t>
            </w:r>
          </w:p>
        </w:tc>
      </w:tr>
      <w:tr>
        <w:trPr>
          <w:cantSplit/>
          <w:trHeight w:val="360" w:hRule="atLeast"/>
        </w:trPr>
        <w:tc>
          <w:tcPr>
            <w:tcW w:type="dxa" w:w="4844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Условия съёмки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Дневное естественное освещение, расстояние 0.3–2 м</w:t>
            </w:r>
          </w:p>
        </w:tc>
      </w:tr>
      <w:tr>
        <w:trPr>
          <w:cantSplit/>
          <w:trHeight w:val="360" w:hRule="atLeast"/>
        </w:trPr>
        <w:tc>
          <w:tcPr>
            <w:tcW w:type="dxa" w:w="4844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Максимум регионов на снимке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До 6 без существенной деградации времени отклика</w:t>
            </w:r>
          </w:p>
        </w:tc>
      </w:tr>
      <w:tr>
        <w:trPr>
          <w:cantSplit/>
          <w:trHeight w:val="360" w:hRule="atLeast"/>
        </w:trPr>
        <w:tc>
          <w:tcPr>
            <w:tcW w:type="dxa" w:w="4844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Видеопамять GPU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Не менее 24 ГБ для совместного запуска детектора и LLM</w:t>
            </w:r>
          </w:p>
        </w:tc>
      </w:tr>
      <w:tr>
        <w:trPr>
          <w:cantSplit/>
          <w:trHeight w:val="360" w:hRule="atLeast"/>
        </w:trPr>
        <w:tc>
          <w:tcPr>
            <w:tcW w:type="dxa" w:w="4844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Одновременных пользователей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До 4 на одну инсталляцию</w:t>
            </w:r>
          </w:p>
        </w:tc>
      </w:tr>
    </w:tbl>
    <w:p>
      <w:pPr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За пределами этих условий применимость падает. Патологии вне обучающего перечня детектор либо относит к одному из имеющихся классов с низкой уверенностью, либо пропускает. Сильное отклонение от типичных условий съёмки (ночь с подсветкой, шум) ухудшает точность и требует дообучения на расширенных данных.</w:t>
      </w:r>
    </w:p>
    <w:p>
      <w:pPr>
        <w:pStyle w:val="Heading2"/>
        <w:keepNext/>
        <w:spacing w:before="240" w:after="120" w:line="360" w:lineRule="auto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 w:val="0"/>
          <w:sz w:val="28"/>
        </w:rPr>
        <w:t>5 Спецификация и руководства</w:t>
      </w:r>
    </w:p>
    <w:p>
      <w:pPr>
        <w:pStyle w:val="Heading3"/>
        <w:keepNext/>
        <w:spacing w:before="240" w:after="120" w:line="360" w:lineRule="auto"/>
        <w:ind w:firstLine="709"/>
        <w:jc w:val="left"/>
        <w:outlineLvl w:val="2"/>
      </w:pPr>
      <w:r>
        <w:rPr>
          <w:rFonts w:ascii="Times New Roman" w:hAnsi="Times New Roman" w:cs="Times New Roman" w:eastAsia="Times New Roman"/>
          <w:b w:val="0"/>
          <w:sz w:val="28"/>
        </w:rPr>
        <w:t>5.1 Спецификация программного продукта</w:t>
      </w:r>
    </w:p>
    <w:p>
      <w:pPr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Краткие технические характеристики сведены в таблицу 7.</w:t>
      </w:r>
    </w:p>
    <w:p>
      <w:pPr>
        <w:keepNext/>
        <w:spacing w:line="276" w:lineRule="auto" w:before="240" w:after="6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7 — Спецификация информационной системы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844"/>
        <w:gridCol w:w="4844"/>
      </w:tblGrid>
      <w:tr>
        <w:trPr>
          <w:cantSplit/>
          <w:tblHeader/>
          <w:trHeight w:val="360" w:hRule="atLeast"/>
        </w:trPr>
        <w:tc>
          <w:tcPr>
            <w:tcW w:type="dxa" w:w="4844"/>
            <w:vAlign w:val="center"/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Параметр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Значение</w:t>
            </w:r>
          </w:p>
        </w:tc>
      </w:tr>
      <w:tr>
        <w:trPr>
          <w:cantSplit/>
          <w:trHeight w:val="360" w:hRule="atLeast"/>
        </w:trPr>
        <w:tc>
          <w:tcPr>
            <w:tcW w:type="dxa" w:w="4844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Наименование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Информационная система диагностики заболеваний пшеницы</w:t>
            </w:r>
          </w:p>
        </w:tc>
      </w:tr>
      <w:tr>
        <w:trPr>
          <w:cantSplit/>
          <w:trHeight w:val="360" w:hRule="atLeast"/>
        </w:trPr>
        <w:tc>
          <w:tcPr>
            <w:tcW w:type="dxa" w:w="4844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Назначение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Автоматизированная диагностика поражений по полевым снимкам</w:t>
            </w:r>
          </w:p>
        </w:tc>
      </w:tr>
      <w:tr>
        <w:trPr>
          <w:cantSplit/>
          <w:trHeight w:val="360" w:hRule="atLeast"/>
        </w:trPr>
        <w:tc>
          <w:tcPr>
            <w:tcW w:type="dxa" w:w="4844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Целевые классы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9 патологий пшеницы</w:t>
            </w:r>
          </w:p>
        </w:tc>
      </w:tr>
      <w:tr>
        <w:trPr>
          <w:cantSplit/>
          <w:trHeight w:val="360" w:hRule="atLeast"/>
        </w:trPr>
        <w:tc>
          <w:tcPr>
            <w:tcW w:type="dxa" w:w="4844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Архитектура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Клиент-серверная, трёхслойная</w:t>
            </w:r>
          </w:p>
        </w:tc>
      </w:tr>
      <w:tr>
        <w:trPr>
          <w:cantSplit/>
          <w:trHeight w:val="360" w:hRule="atLeast"/>
        </w:trPr>
        <w:tc>
          <w:tcPr>
            <w:tcW w:type="dxa" w:w="4844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Слой представления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Web-приложение (Next.js, TypeScript, Ant Design)</w:t>
            </w:r>
          </w:p>
        </w:tc>
      </w:tr>
      <w:tr>
        <w:trPr>
          <w:cantSplit/>
          <w:trHeight w:val="360" w:hRule="atLeast"/>
        </w:trPr>
        <w:tc>
          <w:tcPr>
            <w:tcW w:type="dxa" w:w="4844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Слой бизнес-логики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API-сервис (Python 3.11, FastAPI, SQLAlchemy)</w:t>
            </w:r>
          </w:p>
        </w:tc>
      </w:tr>
      <w:tr>
        <w:trPr>
          <w:cantSplit/>
          <w:trHeight w:val="360" w:hRule="atLeast"/>
        </w:trPr>
        <w:tc>
          <w:tcPr>
            <w:tcW w:type="dxa" w:w="4844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Слой хранения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PostgreSQL 16 с типом JSONB</w:t>
            </w:r>
          </w:p>
        </w:tc>
      </w:tr>
      <w:tr>
        <w:trPr>
          <w:cantSplit/>
          <w:trHeight w:val="360" w:hRule="atLeast"/>
        </w:trPr>
        <w:tc>
          <w:tcPr>
            <w:tcW w:type="dxa" w:w="4844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Модель детекции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YOLOv12-medium с CGFM (P5-only)</w:t>
            </w:r>
          </w:p>
        </w:tc>
      </w:tr>
      <w:tr>
        <w:trPr>
          <w:cantSplit/>
          <w:trHeight w:val="360" w:hRule="atLeast"/>
        </w:trPr>
        <w:tc>
          <w:tcPr>
            <w:tcW w:type="dxa" w:w="4844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Языковая модель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Qwen-3 8B (локальная)</w:t>
            </w:r>
          </w:p>
        </w:tc>
      </w:tr>
      <w:tr>
        <w:trPr>
          <w:cantSplit/>
          <w:trHeight w:val="360" w:hRule="atLeast"/>
        </w:trPr>
        <w:tc>
          <w:tcPr>
            <w:tcW w:type="dxa" w:w="4844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Развёртывание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Docker Compose, четыре сервиса</w:t>
            </w:r>
          </w:p>
        </w:tc>
      </w:tr>
      <w:tr>
        <w:trPr>
          <w:cantSplit/>
          <w:trHeight w:val="360" w:hRule="atLeast"/>
        </w:trPr>
        <w:tc>
          <w:tcPr>
            <w:tcW w:type="dxa" w:w="4844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Минимум для сервера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CPU 8 ядер, RAM 32 ГБ, GPU 24 ГБ VRAM, SSD 100 ГБ</w:t>
            </w:r>
          </w:p>
        </w:tc>
      </w:tr>
      <w:tr>
        <w:trPr>
          <w:cantSplit/>
          <w:trHeight w:val="360" w:hRule="atLeast"/>
        </w:trPr>
        <w:tc>
          <w:tcPr>
            <w:tcW w:type="dxa" w:w="4844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Поддерживаемые браузеры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Chrome 120+, Firefox 120+, Safari 17+, Edge 120+</w:t>
            </w:r>
          </w:p>
        </w:tc>
      </w:tr>
      <w:tr>
        <w:trPr>
          <w:cantSplit/>
          <w:trHeight w:val="360" w:hRule="atLeast"/>
        </w:trPr>
        <w:tc>
          <w:tcPr>
            <w:tcW w:type="dxa" w:w="4844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Форматы входных изображений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JPEG, PNG, WebP</w:t>
            </w:r>
          </w:p>
        </w:tc>
      </w:tr>
      <w:tr>
        <w:trPr>
          <w:cantSplit/>
          <w:trHeight w:val="360" w:hRule="atLeast"/>
        </w:trPr>
        <w:tc>
          <w:tcPr>
            <w:tcW w:type="dxa" w:w="4844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Максимальный размер файла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20 МБ</w:t>
            </w:r>
          </w:p>
        </w:tc>
      </w:tr>
    </w:tbl>
    <w:p>
      <w:pPr>
        <w:pStyle w:val="Heading3"/>
        <w:keepNext/>
        <w:spacing w:before="240" w:after="120" w:line="360" w:lineRule="auto"/>
        <w:ind w:firstLine="709"/>
        <w:jc w:val="left"/>
        <w:outlineLvl w:val="2"/>
      </w:pPr>
      <w:r>
        <w:rPr>
          <w:rFonts w:ascii="Times New Roman" w:hAnsi="Times New Roman" w:cs="Times New Roman" w:eastAsia="Times New Roman"/>
          <w:b w:val="0"/>
          <w:sz w:val="28"/>
        </w:rPr>
        <w:t>5.2 Руководство пользователя и администратора</w:t>
      </w:r>
    </w:p>
    <w:p>
      <w:pPr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Сценарий пользователя укладывается в пять шагов: открыть в браузере главную страницу по адресу, выданному администратором; загрузить фотографию пшеницы — перетащить файл в зону drag-and-drop или выбрать через системный диалог; дождаться ответа (от 4 до 16 с в зависимости от числа регионов); просмотреть результат на изображении с прямоугольниками регионов и карточками описаний; при необходимости сохранить страницу или открыть историю сканов. Для повышения качества диагностики снимать рекомендуется при дневном естественном освещении (без прямых бликов и глубокой тени), с дистанции от 30 см до 2 м, без посторонних объектов в кадре и при разрешении исходника не ниже 1024×1024.</w:t>
      </w:r>
    </w:p>
    <w:p>
      <w:pPr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Администратору доступны типовые команды: docker compose up -d / down — запуск и остановка стенда; обновление весов детектора или LLM — замена файла или каталога весов в монтированном томе и перезапуск соответствующего контейнера; docker compose logs -f — просмотр логов; pg_dump и pg_restore — резервное копирование и восстановление БД; nvidia-smi — контроль загрузки GPU. Конфигурация задаётся переменными окружения в .env. Веса моделей и каталог изображений монтируются как внешние тома — их можно обновлять, не пересобирая образы. При падении одного из сервисов поднять его обратно достаточно командой docker compose restart; остальные компоненты при этом продолжают работать.</w:t>
      </w:r>
    </w:p>
    <w:p>
      <w:pPr>
        <w:pStyle w:val="Heading2"/>
        <w:keepNext/>
        <w:spacing w:before="240" w:after="120" w:line="360" w:lineRule="auto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 w:val="0"/>
          <w:sz w:val="28"/>
        </w:rPr>
        <w:t>6 Калькуляция оборудования и затрат</w:t>
      </w:r>
    </w:p>
    <w:p>
      <w:pPr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Для одной инсталляции на собственном железе нужен сервер, способный держать в памяти одного ускорителя и детектор, и языковую модель. Рекомендуемая конфигурация и оценка стоимости в ценах 2026 года — в таблице 8.</w:t>
      </w:r>
    </w:p>
    <w:p>
      <w:pPr>
        <w:keepNext/>
        <w:spacing w:line="276" w:lineRule="auto" w:before="240" w:after="6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8 — Калькуляция оборудования (собственное развёртывание)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230"/>
        <w:gridCol w:w="3230"/>
        <w:gridCol w:w="3230"/>
      </w:tblGrid>
      <w:tr>
        <w:trPr>
          <w:cantSplit/>
          <w:tblHeader/>
          <w:trHeight w:val="360" w:hRule="atLeast"/>
        </w:trPr>
        <w:tc>
          <w:tcPr>
            <w:tcW w:type="dxa" w:w="3230"/>
            <w:vAlign w:val="center"/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Компонент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Спецификация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Стоимость, руб.</w:t>
            </w:r>
          </w:p>
        </w:tc>
      </w:tr>
      <w:tr>
        <w:trPr>
          <w:cantSplit/>
          <w:trHeight w:val="360" w:hRule="atLeast"/>
        </w:trPr>
        <w:tc>
          <w:tcPr>
            <w:tcW w:type="dxa" w:w="3230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Графический ускоритель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NVIDIA RTX 4090, 24 ГБ GDDR6X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250 000</w:t>
            </w:r>
          </w:p>
        </w:tc>
      </w:tr>
      <w:tr>
        <w:trPr>
          <w:cantSplit/>
          <w:trHeight w:val="360" w:hRule="atLeast"/>
        </w:trPr>
        <w:tc>
          <w:tcPr>
            <w:tcW w:type="dxa" w:w="3230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Центральный процессор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Intel Core i9-14900K, 24 ядра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60 000</w:t>
            </w:r>
          </w:p>
        </w:tc>
      </w:tr>
      <w:tr>
        <w:trPr>
          <w:cantSplit/>
          <w:trHeight w:val="360" w:hRule="atLeast"/>
        </w:trPr>
        <w:tc>
          <w:tcPr>
            <w:tcW w:type="dxa" w:w="3230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Оперативная память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64 ГБ DDR5-5600 (2×32 ГБ)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35 000</w:t>
            </w:r>
          </w:p>
        </w:tc>
      </w:tr>
      <w:tr>
        <w:trPr>
          <w:cantSplit/>
          <w:trHeight w:val="360" w:hRule="atLeast"/>
        </w:trPr>
        <w:tc>
          <w:tcPr>
            <w:tcW w:type="dxa" w:w="3230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Накопитель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NVMe SSD 2 ТБ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22 000</w:t>
            </w:r>
          </w:p>
        </w:tc>
      </w:tr>
      <w:tr>
        <w:trPr>
          <w:cantSplit/>
          <w:trHeight w:val="360" w:hRule="atLeast"/>
        </w:trPr>
        <w:tc>
          <w:tcPr>
            <w:tcW w:type="dxa" w:w="3230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Материнская плата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LGA 1700, PCIe 5.0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35 000</w:t>
            </w:r>
          </w:p>
        </w:tc>
      </w:tr>
      <w:tr>
        <w:trPr>
          <w:cantSplit/>
          <w:trHeight w:val="360" w:hRule="atLeast"/>
        </w:trPr>
        <w:tc>
          <w:tcPr>
            <w:tcW w:type="dxa" w:w="3230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Питание и охлаждение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1000 Вт 80+ Platinum, СЖО, корпус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43 000</w:t>
            </w:r>
          </w:p>
        </w:tc>
      </w:tr>
      <w:tr>
        <w:trPr>
          <w:cantSplit/>
          <w:trHeight w:val="360" w:hRule="atLeast"/>
        </w:trPr>
        <w:tc>
          <w:tcPr>
            <w:tcW w:type="dxa" w:w="3230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ИБП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1500 ВА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15 000</w:t>
            </w:r>
          </w:p>
        </w:tc>
      </w:tr>
      <w:tr>
        <w:trPr>
          <w:cantSplit/>
          <w:trHeight w:val="360" w:hRule="atLeast"/>
        </w:trPr>
        <w:tc>
          <w:tcPr>
            <w:tcW w:type="dxa" w:w="3230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Сеть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Гигабитный коммутатор, кабели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10 000</w:t>
            </w:r>
          </w:p>
        </w:tc>
      </w:tr>
      <w:tr>
        <w:trPr>
          <w:cantSplit/>
          <w:trHeight w:val="360" w:hRule="atLeast"/>
        </w:trPr>
        <w:tc>
          <w:tcPr>
            <w:tcW w:type="dxa" w:w="3230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Итого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</w:p>
        </w:tc>
        <w:tc>
          <w:tcPr>
            <w:tcW w:type="dxa" w:w="3230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470 000</w:t>
            </w:r>
          </w:p>
        </w:tc>
      </w:tr>
    </w:tbl>
    <w:p>
      <w:pPr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Этих характеристик хватает на параллельный запуск детектора (~2–4 ГБ видеопамяти) и Qwen-3 8B в bfloat16 (~16 ГБ). Если 24 ГБ VRAM недоступны, поможет 4-битная квантизация LLM — потребление падает до 6–8 ГБ ценой небольшого ухудшения качества пояснений. Программная часть — только свободные компоненты, лицензионных платежей нет.</w:t>
      </w:r>
    </w:p>
    <w:p>
      <w:pPr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Альтернатива — арендовать виртуальный сервер с GPU у облачного провайдера: капитальные расходы превращаются в операционные, появляется гибкость масштабирования. Оценка стоимости аренды и оборудования для резервирования — в таблице 9. Точка безубыточности между покупкой собственного железа и арендой облака приходится примерно на 5–6 месяц эксплуатации; на горизонте больше года выгоднее своё оборудование. Полная отказоустойчивая конфигурация с резервированием обходится в районе 1 095 000 руб. без стоимости разработки.</w:t>
      </w:r>
    </w:p>
    <w:p>
      <w:pPr>
        <w:keepNext/>
        <w:spacing w:line="276" w:lineRule="auto" w:before="240" w:after="6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9 — Стоимость аренды GPU-сервера и оборудование для резервирования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230"/>
        <w:gridCol w:w="3230"/>
        <w:gridCol w:w="3230"/>
      </w:tblGrid>
      <w:tr>
        <w:trPr>
          <w:cantSplit/>
          <w:tblHeader/>
          <w:trHeight w:val="360" w:hRule="atLeast"/>
        </w:trPr>
        <w:tc>
          <w:tcPr>
            <w:tcW w:type="dxa" w:w="3230"/>
            <w:vAlign w:val="center"/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Позиция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Конфигурация / назначение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Стоимость, руб.</w:t>
            </w:r>
          </w:p>
        </w:tc>
      </w:tr>
      <w:tr>
        <w:trPr>
          <w:cantSplit/>
          <w:trHeight w:val="360" w:hRule="atLeast"/>
        </w:trPr>
        <w:tc>
          <w:tcPr>
            <w:tcW w:type="dxa" w:w="3230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Yandex Cloud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1×NVIDIA L4 24 ГБ, 16 vCPU, 64 ГБ RAM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95 000 в мес.</w:t>
            </w:r>
          </w:p>
        </w:tc>
      </w:tr>
      <w:tr>
        <w:trPr>
          <w:cantSplit/>
          <w:trHeight w:val="360" w:hRule="atLeast"/>
        </w:trPr>
        <w:tc>
          <w:tcPr>
            <w:tcW w:type="dxa" w:w="3230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Selectel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1×NVIDIA RTX 4090 24 ГБ, 16 vCPU, 64 ГБ RAM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85 000 в мес.</w:t>
            </w:r>
          </w:p>
        </w:tc>
      </w:tr>
      <w:tr>
        <w:trPr>
          <w:cantSplit/>
          <w:trHeight w:val="360" w:hRule="atLeast"/>
        </w:trPr>
        <w:tc>
          <w:tcPr>
            <w:tcW w:type="dxa" w:w="3230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VK Cloud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1×NVIDIA A10 24 ГБ, 16 vCPU, 64 ГБ RAM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105 000 в мес.</w:t>
            </w:r>
          </w:p>
        </w:tc>
      </w:tr>
      <w:tr>
        <w:trPr>
          <w:cantSplit/>
          <w:trHeight w:val="360" w:hRule="atLeast"/>
        </w:trPr>
        <w:tc>
          <w:tcPr>
            <w:tcW w:type="dxa" w:w="3230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Резервный сервер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Идентичный основному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470 000</w:t>
            </w:r>
          </w:p>
        </w:tc>
      </w:tr>
      <w:tr>
        <w:trPr>
          <w:cantSplit/>
          <w:trHeight w:val="360" w:hRule="atLeast"/>
        </w:trPr>
        <w:tc>
          <w:tcPr>
            <w:tcW w:type="dxa" w:w="3230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NAS-хранилище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Бэкапы БД и весов моделей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80 000</w:t>
            </w:r>
          </w:p>
        </w:tc>
      </w:tr>
      <w:tr>
        <w:trPr>
          <w:cantSplit/>
          <w:trHeight w:val="360" w:hRule="atLeast"/>
        </w:trPr>
        <w:tc>
          <w:tcPr>
            <w:tcW w:type="dxa" w:w="3230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Балансировщик нагрузки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Автоматическое переключение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30 000</w:t>
            </w:r>
          </w:p>
        </w:tc>
      </w:tr>
      <w:tr>
        <w:trPr>
          <w:cantSplit/>
          <w:trHeight w:val="360" w:hRule="atLeast"/>
        </w:trPr>
        <w:tc>
          <w:tcPr>
            <w:tcW w:type="dxa" w:w="3230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Расширенный ИБП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3000 ВА, до 30 мин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45 000</w:t>
            </w:r>
          </w:p>
        </w:tc>
      </w:tr>
    </w:tbl>
    <w:p>
      <w:pPr>
        <w:pStyle w:val="Heading1"/>
        <w:keepNext/>
        <w:pageBreakBefore/>
        <w:spacing w:before="0" w:after="240" w:line="360" w:lineRule="auto"/>
        <w:ind w:firstLine="0"/>
        <w:jc w:val="center"/>
        <w:outlineLvl w:val="0"/>
      </w:pPr>
      <w:r>
        <w:rPr>
          <w:rFonts w:ascii="Times New Roman" w:hAnsi="Times New Roman" w:cs="Times New Roman" w:eastAsia="Times New Roman"/>
          <w:b w:val="0"/>
          <w:sz w:val="28"/>
        </w:rPr>
        <w:t>ЗАКЛЮЧЕНИЕ</w:t>
      </w:r>
    </w:p>
    <w:p>
      <w:pPr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ходе преддипломной практики выполнены все пункты индивидуального задания. Проведён обзор современных подходов к диагностике заболеваний растений на основе глубокого обучения и обозначен ключевой пробел: применяемые в детекторах механизмы внимания SE-Net и CBAM работают самореферентно и не используют внешний контекст сцены. Собрана многоэтапная стратегия подготовки данных — классическая аугментация, целевой oversampling редких классов, генеративное расширение через диффузионные модели; коэффициент дисбаланса при этом снижается с 5.91 до 3.49.</w:t>
      </w:r>
    </w:p>
    <w:p>
      <w:pPr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Сравнительное исследование четырёх детекторов (YOLOv12, RT-DETR, Faster R-CNN, DETR) на собранном датасете показало преимущество YOLOv12 по совокупности точности и скорости — он и был выбран базовым. Спроектирован и реализован модуль CGFM, встраивающий FiLM-модуляцию от внешнего энкодера в neck детектора. Лучшая конфигурация — энкодер MobileNetV3-Small с FiLM на верхнем уровне пирамиды P5 — даёт +2.7 п.п. mAP@50 при +12 % параметров. Метод переносится: интеграция CGFM в трансформерный RT-DETR дала сопоставимый прирост.</w:t>
      </w:r>
    </w:p>
    <w:p>
      <w:pPr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Реализована клиент-серверная информационная система диагностики, объединяющая детектор с локально развёрнутой языковой моделью Qwen-3 8B; тестирование выполнено по четырём направлениям, обозначены границы применимости, подготовлены спецификация, руководства и калькуляция оборудования. Результаты практики готовы к использованию в содержательных главах ВКР.</w:t>
      </w:r>
    </w:p>
    <w:p>
      <w:pPr>
        <w:pStyle w:val="Heading1"/>
        <w:keepNext/>
        <w:pageBreakBefore/>
        <w:spacing w:before="0" w:after="240" w:line="360" w:lineRule="auto"/>
        <w:ind w:firstLine="0"/>
        <w:jc w:val="center"/>
        <w:outlineLvl w:val="0"/>
      </w:pPr>
      <w:r>
        <w:rPr>
          <w:rFonts w:ascii="Times New Roman" w:hAnsi="Times New Roman" w:cs="Times New Roman" w:eastAsia="Times New Roman"/>
          <w:b w:val="0"/>
          <w:sz w:val="28"/>
        </w:rPr>
        <w:t>СПИСОК ИСПОЛЬЗОВАННЫХ ИСТОЧНИКОВ</w:t>
      </w:r>
    </w:p>
    <w:p>
      <w:pPr>
        <w:spacing w:line="360" w:lineRule="auto" w:before="0" w:after="0"/>
        <w:ind w:firstLine="0" w:left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1. 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He, K., Zhang, X., Ren, S., Sun, J. Deep Residual Learning for Image Recognition. 2016. URL: https://arxiv.org/abs/1512.03385 (дата обращения 14.01.2026).</w:t>
      </w:r>
    </w:p>
    <w:p>
      <w:pPr>
        <w:spacing w:line="360" w:lineRule="auto" w:before="0" w:after="0"/>
        <w:ind w:firstLine="0" w:left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2. 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Dosovitskiy, A., Beyer, L., Kolesnikov, A., et al. An Image is Worth 16×16 Words: Transformers for Image Recognition at Scale. 2021. URL: https://arxiv.org/abs/2010.11929 (дата обращения 02.02.2026).</w:t>
      </w:r>
    </w:p>
    <w:p>
      <w:pPr>
        <w:spacing w:line="360" w:lineRule="auto" w:before="0" w:after="0"/>
        <w:ind w:firstLine="0" w:left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3. 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Ren, S., He, K., Girshick, R., Sun, J. Faster R-CNN: Towards Real-Time Object Detection with Region Proposal Networks. 2016. URL: https://arxiv.org/abs/1506.01497 (дата обращения 10.02.2026).</w:t>
      </w:r>
    </w:p>
    <w:p>
      <w:pPr>
        <w:spacing w:line="360" w:lineRule="auto" w:before="0" w:after="0"/>
        <w:ind w:firstLine="0" w:left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4. 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Carion, N., Massa, F., Synnaeve, G., et al. End-to-End Object Detection with Transformers. 2020. URL: https://arxiv.org/abs/2005.12872 (дата обращения 12.02.2026).</w:t>
      </w:r>
    </w:p>
    <w:p>
      <w:pPr>
        <w:spacing w:line="360" w:lineRule="auto" w:before="0" w:after="0"/>
        <w:ind w:firstLine="0" w:left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5. 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Zhao, Y., Lv, W., Xu, S., et al. DETRs Beat YOLOs on Real-time Object Detection. 2024. URL: https://arxiv.org/abs/2304.08069 (дата обращения 15.02.2026).</w:t>
      </w:r>
    </w:p>
    <w:p>
      <w:pPr>
        <w:spacing w:line="360" w:lineRule="auto" w:before="0" w:after="0"/>
        <w:ind w:firstLine="0" w:left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6. 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Tian, Y., Ye, Q., Doermann, D. YOLOv12: Attention-Centric Real-Time Object Detectors. 2025. URL: https://arxiv.org/abs/2502.12524 (дата обращения 20.02.2026).</w:t>
      </w:r>
    </w:p>
    <w:p>
      <w:pPr>
        <w:spacing w:line="360" w:lineRule="auto" w:before="0" w:after="0"/>
        <w:ind w:firstLine="0" w:left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7. 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Hu, J., Shen, L., Sun, G. Squeeze-and-Excitation Networks. 2018. URL: https://arxiv.org/abs/1709.01507 (дата обращения 25.02.2026).</w:t>
      </w:r>
    </w:p>
    <w:p>
      <w:pPr>
        <w:spacing w:line="360" w:lineRule="auto" w:before="0" w:after="0"/>
        <w:ind w:firstLine="0" w:left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8. 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Woo, S., Park, J., Lee, J.-Y., Kweon, I. S. CBAM: Convolutional Block Attention Module. 2018. URL: https://arxiv.org/abs/1807.06521 (дата обращения 26.02.2026).</w:t>
      </w:r>
    </w:p>
    <w:p>
      <w:pPr>
        <w:spacing w:line="360" w:lineRule="auto" w:before="0" w:after="0"/>
        <w:ind w:firstLine="0" w:left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9. 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Perez, E., Strub, F., de Vries, H., Dumoulin, V., Courville, A. FiLM: Visual Reasoning with a General Conditioning Layer. 2018. URL: https://arxiv.org/abs/1709.07871 (дата обращения 28.02.2026).</w:t>
      </w:r>
    </w:p>
    <w:p>
      <w:pPr>
        <w:spacing w:line="360" w:lineRule="auto" w:before="0" w:after="0"/>
        <w:ind w:firstLine="0" w:left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10. 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Buslaev, A., Iglovikov, V. I., Khvedchenya, E., et al. Albumentations: Fast and Flexible Image Augmentations. Information. 2020. Vol. 11. No. 2. P. 125.</w:t>
      </w:r>
    </w:p>
    <w:p>
      <w:pPr>
        <w:spacing w:line="360" w:lineRule="auto" w:before="0" w:after="0"/>
        <w:ind w:firstLine="0" w:left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11. 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Rombach, R., Blattmann, A., Lorenz, D., Esser, P., Ommer, B. High-Resolution Image Synthesis with Latent Diffusion Models. 2022. URL: https://arxiv.org/abs/2112.10752 (дата обращения 05.03.2026).</w:t>
      </w:r>
    </w:p>
    <w:p>
      <w:pPr>
        <w:spacing w:line="360" w:lineRule="auto" w:before="0" w:after="0"/>
        <w:ind w:firstLine="0" w:left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12. 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Howard, A., Sandler, M., Chu, G., et al. Searching for MobileNetV3. 2019. URL: https://arxiv.org/abs/1905.02244 (дата обращения 10.03.2026).</w:t>
      </w:r>
    </w:p>
    <w:p>
      <w:pPr>
        <w:spacing w:line="360" w:lineRule="auto" w:before="0" w:after="0"/>
        <w:ind w:firstLine="0" w:left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13. 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Yang, A., Yang, B., Zhang, B., et al. Qwen3 Technical Report. 2025. URL: https://arxiv.org/abs/2505.09388 (дата обращения 15.03.2026).</w:t>
      </w:r>
    </w:p>
    <w:p>
      <w:pPr>
        <w:spacing w:line="360" w:lineRule="auto" w:before="0" w:after="0"/>
        <w:ind w:firstLine="0" w:left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14. 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ГОСТ 7.32-2017. Отчёт о научно-исследовательской работе. Структура и правила оформления. М.: Стандартинформ, 2017. 27 с.</w:t>
      </w:r>
    </w:p>
    <w:p>
      <w:pPr>
        <w:spacing w:line="360" w:lineRule="auto" w:before="0" w:after="0"/>
        <w:ind w:firstLine="0" w:left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15. 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ГОСТ Р 7.0.5-2008. Библиографическая ссылка. Общие требования и правила составления. М.: Стандартинформ, 2008. 23 с.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cs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360" w:lineRule="auto"/>
      <w:outlineLvl w:val="0"/>
    </w:pPr>
    <w:rPr>
      <w:rFonts w:asciiTheme="majorHAnsi" w:eastAsiaTheme="majorEastAsia" w:hAnsiTheme="majorHAnsi" w:cstheme="majorBidi" w:ascii="Times New Roman" w:hAnsi="Times New Roman" w:cs="Times New Roman" w:eastAsia="Times New Roman"/>
      <w:b w:val="0"/>
      <w:bCs w:val="0"/>
      <w:i w:val="0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="360" w:lineRule="auto"/>
      <w:outlineLvl w:val="1"/>
    </w:pPr>
    <w:rPr>
      <w:rFonts w:asciiTheme="majorHAnsi" w:eastAsiaTheme="majorEastAsia" w:hAnsiTheme="majorHAnsi" w:cstheme="majorBidi" w:ascii="Times New Roman" w:hAnsi="Times New Roman" w:cs="Times New Roman" w:eastAsia="Times New Roman"/>
      <w:b w:val="0"/>
      <w:bCs w:val="0"/>
      <w:i w:val="0"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360" w:lineRule="auto"/>
      <w:outlineLvl w:val="2"/>
    </w:pPr>
    <w:rPr>
      <w:rFonts w:asciiTheme="majorHAnsi" w:eastAsiaTheme="majorEastAsia" w:hAnsiTheme="majorHAnsi" w:cstheme="majorBidi" w:ascii="Times New Roman" w:hAnsi="Times New Roman" w:cs="Times New Roman" w:eastAsia="Times New Roman"/>
      <w:b w:val="0"/>
      <w:bCs w:val="0"/>
      <w:i w:val="0"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rPr>
      <w:rFonts w:ascii="Times New Roman" w:hAnsi="Times New Roman" w:cs="Times New Roman" w:eastAsia="Times New Roman"/>
      <w:color w:val="000000"/>
      <w:u w:val="none"/>
    </w:rPr>
  </w:style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pPr/>
    <w:rPr>
      <w:sz w:val="28"/>
      <w:szCs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notes" Target="footnotes.xml"/><Relationship Id="rId10" Type="http://schemas.openxmlformats.org/officeDocument/2006/relationships/image" Target="media/image1.png"/><Relationship Id="rId1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