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240"/>
        <w:jc w:val="center"/>
      </w:pPr>
      <w:r>
        <w:rPr>
          <w:rFonts w:ascii="Calibri" w:hAnsi="Calibri"/>
          <w:b/>
          <w:color w:val="2E74B5"/>
          <w:sz w:val="21"/>
        </w:rPr>
        <w:t>EE6008 COLLABORATIVE RESEARCH AND DEVELOPMENT PROJECT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4"/>
        </w:rPr>
        <w:t>Design and Implementation of UAV Motion State Based Covert Communications</w:t>
      </w:r>
    </w:p>
    <w:p>
      <w:pPr>
        <w:spacing w:after="520"/>
        <w:jc w:val="center"/>
      </w:pPr>
      <w:r>
        <w:rPr>
          <w:rFonts w:ascii="Calibri" w:hAnsi="Calibri"/>
          <w:i/>
          <w:color w:val="59636E"/>
          <w:sz w:val="30"/>
        </w:rPr>
        <w:t>Literature Guide and Project Charter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2808"/>
        <w:gridCol w:w="6552"/>
      </w:tblGrid>
      <w:tr>
        <w:trPr>
          <w:cantSplit/>
        </w:trPr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Supervisor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Dr Shuping Dang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Team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[TO COMPLETE: names and matriculation numbers]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Team leader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[TO COMPLETE]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Project period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13-week teaching term [dates to be confirmed]</w:t>
            </w:r>
          </w:p>
        </w:tc>
      </w:tr>
      <w:tr>
        <w:trPr>
          <w:cantSplit/>
        </w:trPr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20"/>
              </w:rPr>
              <w:t>Version</w:t>
            </w:r>
          </w:p>
        </w:tc>
        <w:tc>
          <w:tcPr>
            <w:tcW w:type="dxa" w:w="65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Draft v0.1 | 17 August 2026 | Supervisor review</w:t>
            </w:r>
          </w:p>
        </w:tc>
      </w:tr>
    </w:tbl>
    <w:p>
      <w:pPr>
        <w:spacing w:after="280"/>
      </w:pPr>
    </w:p>
    <w:p>
      <w:pPr>
        <w:spacing w:before="0"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Project proposition. </w:t>
            </w:r>
            <w:r>
              <w:rPr>
                <w:rFonts w:ascii="Calibri" w:hAnsi="Calibri"/>
                <w:color w:val="000000"/>
                <w:sz w:val="21"/>
              </w:rPr>
              <w:t>Build an end-to-end payload-to-motion-to-payload demonstrator in which an authorised visual receiver decodes keyed UAV micro-motions while an unauthorised observer has difficulty distinguishing encoded flight from nominal flight.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Part I. Guided Reading of the Three Core References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The three references are complementary rather than interchangeable. Ref A is the strongest end-to-end implementation baseline; Ref B supplies the state quantiser and cascaded flight-control baseline; Ref C supplies a motion-shape library and a rigorous way to measure how visible flight gestures are to untrained observers. Their combination creates a credible project, but only if conspicuous communication gestures are separated from genuinely low-detectability micro-motions.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1200"/>
        <w:gridCol w:w="2700"/>
        <w:gridCol w:w="2460"/>
        <w:gridCol w:w="3000"/>
      </w:tblGrid>
      <w:tr>
        <w:trPr>
          <w:cantSplit/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Reference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Primary contribution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What it proves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Role in this project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 — MoCom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Motion alphabet, event-stream segmentation, SNN recognition, online decoder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 receiver can decode deliberately visible MAV actions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Reliable communication baseline and strong Bob/Willie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B — Motion-state covert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16-bit state quantiser, 6DoF model, outer PID / inner PD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Observed flight states can be labelled as digital words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Simulation/control baseline; must add inverse encoder and LPD evaluation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 — Flight paths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Eight parametric gestures and human forced-choice study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Some large gestures convey intuitive public meanings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Conspicuous positive control and shape library; not a covert codebook</w:t>
            </w:r>
          </w:p>
        </w:tc>
      </w:tr>
    </w:tbl>
    <w:p>
      <w:pPr>
        <w:pStyle w:val="Heading2"/>
        <w:keepNext/>
      </w:pPr>
      <w:r>
        <w:t>Recommended reading order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Read Ref B first to understand the project title, 16-bit state representation and control architecture.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Read Ref A second to see what a complete transmitter–observer–decoder loop requires in practice.</w:t>
      </w:r>
    </w:p>
    <w:p>
      <w:pPr>
        <w:numPr>
          <w:ilvl w:val="0"/>
          <w:numId w:val="10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Read Ref C third as a warning and a benchmark: motions that humans easily interpret are useful controls but are poor covert symbols.</w:t>
      </w:r>
    </w:p>
    <w:p>
      <w:pPr>
        <w:pStyle w:val="Heading2"/>
        <w:keepNext/>
      </w:pPr>
      <w:r>
        <w:t>Ref A — MoCom: motion-based inter-MAV visual communication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MoCom encodes a navigation command as an eight-symbol visual frame: start, one direction bit, three heading bits, two distance bits and end. The actual information payload is therefore six bits; start and end are control symbols. Four visible motion primitives represent start, end, 1 and 0. A fixed event camera observes a Performer Crazyflie, segments a continuous event stream, classifies each action with EventMAVNet, and reconstructs the command with an online Integrated MAV Segmentation and Recognition (IMSR) state machine. The command is then sent through a conventional control link to an Executor Crazyflie.</w:t>
      </w:r>
    </w:p>
    <w:p>
      <w:pPr>
        <w:spacing w:before="0"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CE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Important interpretation. </w:t>
            </w:r>
            <w:r>
              <w:rPr>
                <w:rFonts w:ascii="Calibri" w:hAnsi="Calibri"/>
                <w:color w:val="000000"/>
                <w:sz w:val="21"/>
              </w:rPr>
              <w:t>MoCom demonstrates reliable visual motion communication, not covertness. Its explicit start/end gestures, V-shaped symbols and long idle intervals are designed to be easy to recognise.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Technical elements worth retaining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 framed protocol with start/data/end states, upgraded in this project with sequence number, CRC-8, timeout and optional Hamming coding.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 separate background/no-signal class, so the receiver must first decide whether a valid action exists.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Motion segmentation before classification. MoCom uses 33 ms event frames, positive-event ratio and local event-count variance, followed by temporal filtering.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Session-level tests at 0.9 m, 1.2 m and 1.5 m, plus symbol confusion matrices and temporal segmentation IoU.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EventMAVNet only as a stretch implementation. An RGB camera, ArUco tracking and trajectory features are the lower-risk MVP.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2100"/>
        <w:gridCol w:w="1800"/>
        <w:gridCol w:w="1800"/>
        <w:gridCol w:w="36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Condition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Reported accuracy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Reported model energy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Interpretation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0.9 / 1.2 / 1.5 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96.51 / 95.37 / 94.98%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Not reported end-to-end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High action-classification accuracy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128×128, F=16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95.37%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2.567 mJ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Highest-accuracy ablation point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64×64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92.28%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0.432 mJ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Practical course-project starting point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F=8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91.98%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0.875 mJ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Lower temporal cost</w:t>
            </w:r>
          </w:p>
        </w:tc>
      </w:tr>
    </w:tbl>
    <w:p>
      <w:pPr>
        <w:jc w:val="both"/>
      </w:pPr>
      <w:r>
        <w:rPr>
          <w:rFonts w:ascii="Calibri" w:hAnsi="Calibri"/>
          <w:i/>
          <w:color w:val="000000"/>
          <w:sz w:val="22"/>
        </w:rPr>
        <w:t>MoCom reports 1.26 ms per batch of ten samples on an RTX 4090; this is not an onboard Raspberry Pi latency. Its approximately three-second actions and three-second guard intervals imply roughly 45 seconds for a six-bit frame, or about 0.13 bit/s by engineering inference. The paper does not report BER, PER, repeated-trial confidence intervals or complete platform energy.</w:t>
      </w:r>
    </w:p>
    <w:p>
      <w:pPr>
        <w:pStyle w:val="Heading2"/>
        <w:keepNext/>
      </w:pPr>
      <w:r>
        <w:t>Ref B — encoding UAV motion states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Ref B uses a six-degree-of-freedom quadrotor model, an outer position PID loop and an inner attitude PD loop. During a 15-second point-to-point flight, the simulated state is sampled every 20 ms and mapped into a 16-bit label. The fields cover distance from origin, position class, total and per-axis velocity conditions, and the signs of roll, pitch and yaw.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1320"/>
        <w:gridCol w:w="4080"/>
        <w:gridCol w:w="3960"/>
      </w:tblGrid>
      <w:tr>
        <w:trPr>
          <w:cantSplit/>
          <w:tblHeader w:val="true"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Bits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Meaning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Replication note</w:t>
            </w:r>
          </w:p>
        </w:tc>
      </w:tr>
      <w:tr>
        <w:trPr>
          <w:cantSplit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b1–b2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Four distance bands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T1, T2 and T3 are not published</w:t>
            </w:r>
          </w:p>
        </w:tc>
      </w:tr>
      <w:tr>
        <w:trPr>
          <w:cantSplit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b3–b6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15 position classes: octants, planes, axes and origin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Equality-to-zero rules need tolerance and hysteresis</w:t>
            </w:r>
          </w:p>
        </w:tc>
      </w:tr>
      <w:tr>
        <w:trPr>
          <w:cantSplit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b7–b13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Total speed plus per-axis sign and magnitude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Velocity thresholds are not published</w:t>
            </w:r>
          </w:p>
        </w:tc>
      </w:tr>
      <w:tr>
        <w:trPr>
          <w:cantSplit/>
        </w:trPr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b14–b16</w:t>
            </w:r>
          </w:p>
        </w:tc>
        <w:tc>
          <w:tcPr>
            <w:tcW w:type="dxa" w:w="4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Signs of roll, pitch and yaw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Paper says rotation direction but tests angle sign</w:t>
            </w:r>
          </w:p>
        </w:tc>
      </w:tr>
    </w:tbl>
    <w:p>
      <w:pPr>
        <w:spacing w:before="0"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DE7E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Critical gap. </w:t>
            </w:r>
            <w:r>
              <w:rPr>
                <w:rFonts w:ascii="Calibri" w:hAnsi="Calibri"/>
                <w:color w:val="000000"/>
                <w:sz w:val="21"/>
              </w:rPr>
              <w:t>The implemented direction is flight state → 16-bit state label. It does not yet provide arbitrary payload → feasible motion → independent observation → recovered payload. Nor does it define a Willie, H0/H1 test, false alarm, missed detection, ROC-AUC or detection-error probability.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Elements to reproduce and extend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Reproduce the standard 6DoF plant and cascaded position-PID / attitude-PD architecture, validating any equation-level discrepancies against a trusted quadrotor model.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Retain the published 16-bit state label as a simulation baseline, not as an asserted 800 bit/s channel.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Add an inverse encoder that converts payload symbols into dynamically reachable state targets and smooth, bounded trajectories.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Add tolerance bands, hysteresis, timing recovery, CRC/FEC and an independent visual receiver.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Define normal flight H0 and encoded flight H1, then test covertness against a trained observer rather than relying on a secret fixed table.</w:t>
      </w:r>
    </w:p>
    <w:p>
      <w:pPr>
        <w:pStyle w:val="Heading2"/>
        <w:keepNext/>
      </w:pPr>
      <w:r>
        <w:t>Ref C — communicative flight paths for sUAS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Ref C studies whether untrained people attach common meanings to eight biologically inspired, periodic flight paths: Circle, Figure-8, Left-Right, Loop, Spiral, Swoop, Undulate and Up-Down. A Firefly hexacopter followed large parametric trajectories under Vicon feedback and PID pose control; each gesture lasted about 30 seconds and occupied roughly 0.5–4 m. Sixty-four mTurk participants completed either a two-alternative or seven-alternative forced-choice video study.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2100"/>
        <w:gridCol w:w="4800"/>
        <w:gridCol w:w="2460"/>
      </w:tblGrid>
      <w:tr>
        <w:trPr>
          <w:cantSplit/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Gesture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Significant interpretation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Agreement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Figure-8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Lost sensor (2AFC)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84.38%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Spiral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Landing (2AFC / 7AFC)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87.5% / 59.4%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Swoop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Draw attention (2AFC)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75%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Circle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Draw attention (7AFC)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40.6%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Undulate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Draw attention (7AFC)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34.4%</w:t>
            </w:r>
          </w:p>
        </w:tc>
      </w:tr>
    </w:tbl>
    <w:p>
      <w:pPr>
        <w:jc w:val="both"/>
      </w:pPr>
      <w:r>
        <w:rPr>
          <w:rFonts w:ascii="Calibri" w:hAnsi="Calibri"/>
          <w:i w:val="0"/>
          <w:color w:val="000000"/>
          <w:sz w:val="22"/>
        </w:rPr>
        <w:t>Only Spiral → Landing remained stable across both choice conditions. Ref C is therefore not a digital code design: the mapping is many-to-one, prompted meanings can change, and no framing, synchronisation, BER or receiver is defined. Its high-salience trajectories are valuable as a non-covert positive control and as a public safety signalling layer.</w:t>
      </w:r>
    </w:p>
    <w:p>
      <w:pPr>
        <w:pStyle w:val="Heading2"/>
        <w:keepNext/>
      </w:pPr>
      <w:r>
        <w:t>Cross-paper migration decision</w:t>
      </w:r>
    </w:p>
    <w:p>
      <w:pPr>
        <w:spacing w:before="0"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Recommended synthesis. </w:t>
            </w:r>
            <w:r>
              <w:rPr>
                <w:rFonts w:ascii="Calibri" w:hAnsi="Calibri"/>
                <w:color w:val="000000"/>
                <w:sz w:val="21"/>
              </w:rPr>
              <w:t>Use Ref B for modelling and control; Ref A for framing, segmentation and machine decoding; and Ref C for conspicuous baselines and optional public-safety gestures. The covert payload itself should use keyed, low-amplitude variations embedded in a nominal mission trajectory.</w:t>
            </w:r>
          </w:p>
        </w:tc>
      </w:tr>
    </w:tbl>
    <w:p>
      <w:pPr>
        <w:spacing w:after="20"/>
      </w:pPr>
    </w:p>
    <w:p>
      <w:pPr>
        <w:pStyle w:val="Heading3"/>
        <w:keepNext/>
      </w:pPr>
      <w:r>
        <w:t>Migration priorities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Transfer immediately: Ref B's cascaded controller and state logging; Ref A's framed protocol, background class and receiver state machine; Ref C's conspicuous shapes as positive controls.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Adapt before use: replace MoCom's long visible actions with bounded relative deviations; convert Ref B's state-to-word mapping into a feasible inverse planner; scale Ref C paths from metre-level gestures to centimetre-level templates.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Use two codebooks: an overt safety layer for public states such as landing/attention, and a separate keyed micro-motion layer for digital payload.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Use the same strong observer twice: as Bob when it knows timing/key, and as Willie when it does not. This exposes whether the gain comes from the key or simply from obvious flight anomalies.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Defer until the MVP works: event camera, SNN, dual-UAV relay, human-subject study and adversarial codebook optimisation.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The practical first experiment is therefore a fixed-height Crazyflie flight observed by an RGB camera: nominal waypoint paths define H0; Ref A/C-inspired large symbols validate the receiver and Willie; a keyed four-symbol micro-motion codebook defines H1. The experiment sweeps amplitude and duration to produce a BER–AUC–mission-overhead Pareto curve.</w:t>
      </w:r>
    </w:p>
    <w:p>
      <w:r>
        <w:br w:type="page"/>
      </w:r>
    </w:p>
    <w:p>
      <w:pPr>
        <w:pStyle w:val="Heading1"/>
        <w:keepNext/>
      </w:pPr>
      <w:r>
        <w:t>Part II. EE6008 Project Charter</w:t>
      </w:r>
    </w:p>
    <w:p>
      <w:pPr>
        <w:pStyle w:val="Heading2"/>
        <w:keepNext/>
      </w:pPr>
      <w:r>
        <w:t>1. Charter metadata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Project title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Design and Implementation of UAV Motion State Based Covert Communications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Course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EE6008 Collaborative Research and Development Project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Supervisor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Dr Shuping Dang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Team / leader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[TO COMPLETE]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Duration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13 teaching weeks; approximately 6 hours per student per week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Budget ceiling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S$1,000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Primary platform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Crazyflie-class indoor micro-UAV; simulation first</w:t>
            </w:r>
          </w:p>
        </w:tc>
      </w:tr>
      <w:tr>
        <w:trPr>
          <w:cantSplit/>
        </w:trPr>
        <w:tc>
          <w:tcPr>
            <w:tcW w:type="dxa" w:w="27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Submission milestones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Charter in Week 3; report and presentation videos in Week 13</w:t>
            </w:r>
          </w:p>
        </w:tc>
      </w:tr>
    </w:tbl>
    <w:p>
      <w:pPr>
        <w:pStyle w:val="Heading2"/>
        <w:keepNext/>
      </w:pPr>
      <w:r>
        <w:t>2. Problem statement and opportunity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Conventional UAV communication relies on RF links that may be congested, jammed or undesirable in electromagnetically constrained environments. Existing motion-based approaches show that flight state can carry information, but leave a gap between state labelling and a complete, measurable communication system. The project will close that gap by implementing an independent visual receiver and by distinguishing content secrecy from low probability of detection.</w:t>
      </w:r>
    </w:p>
    <w:p>
      <w:pPr>
        <w:pStyle w:val="Heading2"/>
        <w:keepNext/>
      </w:pPr>
      <w:r>
        <w:t>3. Aim and research question</w:t>
      </w:r>
    </w:p>
    <w:p>
      <w:pPr>
        <w:jc w:val="both"/>
      </w:pPr>
      <w:r>
        <w:rPr>
          <w:rFonts w:ascii="Calibri" w:hAnsi="Calibri"/>
          <w:b/>
          <w:color w:val="000000"/>
          <w:sz w:val="22"/>
        </w:rPr>
        <w:t>Aim.</w:t>
      </w:r>
      <w:r>
        <w:rPr>
          <w:rFonts w:ascii="Calibri" w:hAnsi="Calibri"/>
          <w:i w:val="0"/>
          <w:color w:val="000000"/>
          <w:sz w:val="22"/>
        </w:rPr>
        <w:t xml:space="preserve"> Design, implement and evaluate a safe indoor UAV demonstrator that transmits a short digital payload through controlled motion variations, while preserving nominal mission behaviour and measuring both authorised decoding reliability and unauthorised detectability.</w:t>
      </w:r>
    </w:p>
    <w:p>
      <w:pPr>
        <w:spacing w:before="0"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Primary research question. </w:t>
            </w:r>
            <w:r>
              <w:rPr>
                <w:rFonts w:ascii="Calibri" w:hAnsi="Calibri"/>
                <w:color w:val="000000"/>
                <w:sz w:val="21"/>
              </w:rPr>
              <w:t>Under flight-stability, task-path and energy constraints, can a keyed micro-motion codebook remain reliably decodable by an authorised visual receiver while being difficult for a no-key observer to distinguish from normal flight?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 Objectives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Reproduce a validated 6DoF quadrotor and cascaded position-PID / attitude-PD simulation based on Ref B.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Implement a complete payload-to-motion-to-payload chain with framing, synchronisation, CRC and a safe four-symbol motion alphabet.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Build an independent RGB visual receiver using marker tracking, filtering, action segmentation and symbol classification; use onboard telemetry only as ground truth.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Establish a conspicuous motion baseline derived from Refs A/C and a keyed micro-motion scheme embedded in nominal waypoint flight.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Evaluate reliability, control quality, mission overhead and statistical covertness on held-out flight sessions.</w:t>
      </w:r>
    </w:p>
    <w:p>
      <w:pPr>
        <w:numPr>
          <w:ilvl w:val="0"/>
          <w:numId w:val="11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Deliver reproducible code, logged data, a hardware demonstration, a technical report and the required presentation videos.</w:t>
      </w:r>
    </w:p>
    <w:p>
      <w:pPr>
        <w:pStyle w:val="Heading2"/>
        <w:keepNext/>
      </w:pPr>
      <w:r>
        <w:t>5. Scope</w:t>
      </w:r>
    </w:p>
    <w:p>
      <w:pPr>
        <w:pStyle w:val="Heading3"/>
        <w:keepNext/>
      </w:pPr>
      <w:r>
        <w:t>In scope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Single transmitting UAV, fixed external Bob camera and software Willie; indoor, fixed-height hardware trials.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Full 3D state quantisation and cascaded controller in simulation; local x/y/yaw micro-motion subset on hardware.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Four motion primitives (2 bits/symbol) for the MVP, with keyed permutation and multiple near-equivalent variants where time permits.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Comparison of nominal flight, conspicuous Ref A/C-style communication and proposed micro-motion communication.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RGB receiver as MVP; event camera and SNN only if suitable hardware, data and time are available.</w:t>
      </w:r>
    </w:p>
    <w:p>
      <w:pPr>
        <w:pStyle w:val="Heading3"/>
        <w:keepNext/>
      </w:pPr>
      <w:r>
        <w:t>Out of scope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Outdoor or beyond-visual-line-of-sight operation, payload delivery, autonomous swarms or adversarial manoeuvres.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 custom low-level flight-controller firmware, RF covert waveform design or cryptographic security proof.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Human-subject experiments unless separate ethics approval and supervisor direction are obtained.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Claims of formal LPD capacity or the square-root law; the project provides empirical detectability evidence for a defined observer.</w:t>
      </w:r>
    </w:p>
    <w:p>
      <w:pPr>
        <w:pStyle w:val="Heading2"/>
        <w:keepNext/>
      </w:pPr>
      <w:r>
        <w:t>6. System concept and threat model</w:t>
      </w:r>
    </w:p>
    <w:p>
      <w:pPr>
        <w:jc w:val="center"/>
      </w:pPr>
      <w:r>
        <w:rPr>
          <w:rFonts w:ascii="Calibri" w:hAnsi="Calibri"/>
          <w:i w:val="0"/>
          <w:color w:val="000000"/>
          <w:sz w:val="22"/>
        </w:rPr>
        <w:t>Payload → keyed frame → motion-symbol planner → bounded trajectory smoother → cascaded controller → UAV → external visual state estimator → action segmentation → symbol decision → CRC → recovered payload</w:t>
      </w:r>
    </w:p>
    <w:p>
      <w:pPr>
        <w:pStyle w:val="Heading3"/>
        <w:keepNext/>
      </w:pPr>
      <w:r>
        <w:t>Actors and hypotheses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Alice is the transmitting UAV. Its safety/control RF link carries no communication payload.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Bob is an authorised external visual receiver that knows symbol timing and the keyed codebook. Bob must decode without reading UAV telemetry.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Willie has a comparable line of sight and may train on example flights, but does not possess the session key. Willie decides between H0 (nominal mission) and H1 (same mission with embedded payload).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The public algorithm may be known. Covertness must therefore be measured by detectability of H1, not by assuming the codebook remains permanently secret.</w:t>
      </w:r>
    </w:p>
    <w:p>
      <w:pPr>
        <w:pStyle w:val="Heading2"/>
        <w:keepNext/>
      </w:pPr>
      <w:r>
        <w:t>7. Proposed technical design</w:t>
      </w:r>
    </w:p>
    <w:p>
      <w:pPr>
        <w:pStyle w:val="Heading3"/>
        <w:keepNext/>
      </w:pPr>
      <w:r>
        <w:t>MVP protocol</w:t>
      </w:r>
    </w:p>
    <w:p>
      <w:pPr>
        <w:jc w:val="center"/>
      </w:pPr>
      <w:r>
        <w:rPr>
          <w:rFonts w:ascii="Calibri" w:hAnsi="Calibri"/>
          <w:i w:val="0"/>
          <w:color w:val="000000"/>
          <w:sz w:val="22"/>
        </w:rPr>
        <w:t>Keyed preamble | sequence number | payload | CRC-8 | optional Hamming(7,4)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Four fixed-height relative primitives initially represent 00, 01, 10 and 11 through small left/right deviations and curvature/speed variants around the nominal path.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Begin with 10–20 cm deviation and 1.5–2.5 s symbols, then reduce amplitude and duration according to Bob BER and Willie AUC.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Apply jerk-limited or minimum-jerk smoothing and enforce velocity, acceleration, tilt, geofence and actuator limits.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Use telemetry and Lighthouse/Flow positioning only for control and ground truth; Bob receives pixels or extracted external-camera tracks.</w:t>
      </w:r>
    </w:p>
    <w:p>
      <w:pPr>
        <w:pStyle w:val="Heading3"/>
        <w:keepNext/>
      </w:pPr>
      <w:r>
        <w:t>Software chain</w:t>
      </w:r>
    </w:p>
    <w:p>
      <w:pPr>
        <w:jc w:val="both"/>
      </w:pPr>
      <w:r>
        <w:rPr>
          <w:rFonts w:ascii="Calibri" w:hAnsi="Calibri"/>
          <w:i w:val="0"/>
          <w:color w:val="000000"/>
          <w:sz w:val="22"/>
        </w:rPr>
        <w:t>MATLAB/Simulink or a verified Python 6DoF model for Ref B reproduction; Crazyflie cflib for safe high-level setpoints; Python, NumPy/SciPy and python-control for planning and analysis; OpenCV ArUco for pose tracking; Kalman/low-pass filtering for state estimation; scikit-learn or XGBoost for Willie; pandas/Parquet, YAML configuration, pytest and Git for reproducibility. PX4/ROS 2/Gazebo and SpikeJelly are stretch dependencies, not MVP requirements.</w:t>
      </w:r>
    </w:p>
    <w:p>
      <w:pPr>
        <w:pStyle w:val="Heading2"/>
        <w:keepNext/>
      </w:pPr>
      <w:r>
        <w:t>8. Success criteria and experimental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1380"/>
        <w:gridCol w:w="2220"/>
        <w:gridCol w:w="2820"/>
        <w:gridCol w:w="2940"/>
      </w:tblGrid>
      <w:tr>
        <w:trPr>
          <w:cantSplit/>
          <w:tblHeader w:val="true"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Dimension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Metric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Minimum evidence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Target / interpretation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Reliability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BER, PER, sync rate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≥20 independent flights/condition where feasible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PER success ≥90%; BER ≤5% nominal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Control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RMSE, overshoot, settling, jerk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Telemetry ground truth and external track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Position RMSE ≤0.10 m nominal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Mission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Path/time/energy overhead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Matched H0/H1 waypoint missions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Time/energy overhead ≤15%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Covertness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ROC-AUC, PFA, PMD, ξ*=min(PFA+PMD)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Held-out flight sessions; 95% CI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Research target AUC ≤0.65 or ξ* ≥0.8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Positive control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Willie AUC on conspicuous gestures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Ref A/C-style large-motion baseline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Clearly more detectable than micro-motion</w:t>
            </w:r>
          </w:p>
        </w:tc>
      </w:tr>
      <w:tr>
        <w:trPr>
          <w:cantSplit/>
        </w:trPr>
        <w:tc>
          <w:tcPr>
            <w:tcW w:type="dxa" w:w="1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Reproducibility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One-command analysis and configuration log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Fresh rerun before submission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All figures traceable to raw runs</w:t>
            </w:r>
          </w:p>
        </w:tc>
      </w:tr>
    </w:tbl>
    <w:p>
      <w:pPr>
        <w:jc w:val="both"/>
      </w:pPr>
      <w:r>
        <w:rPr>
          <w:rFonts w:ascii="Calibri" w:hAnsi="Calibri"/>
          <w:i/>
          <w:color w:val="000000"/>
          <w:sz w:val="22"/>
        </w:rPr>
        <w:t>The AUC/DEP value is a research target, not a pass/fail promise. A well-controlled negative result showing that a proposed codebook is detectable remains valid if the reliability and evaluation pipeline are complete.</w:t>
      </w:r>
    </w:p>
    <w:p>
      <w:pPr>
        <w:pStyle w:val="Heading3"/>
        <w:keepNext/>
      </w:pPr>
      <w:r>
        <w:t>Experiment matrix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Baseline B0: nominal waypoint flight with no payload (H0).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Baseline B1: conspicuous start/0/1/end or Ref C shape gestures; validates segmentation and Willie sensitivity.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Method M1: fixed low-amplitude motion codebook.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Method M2: keyed/randomised micro-motion codebook embedded in the same mission path.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Ablations: amplitude, symbol duration, camera distance/angle, light, fan disturbance, filtering, CRC/FEC and codebook key knowledge.</w:t>
      </w:r>
    </w:p>
    <w:p>
      <w:pPr>
        <w:pStyle w:val="Heading2"/>
        <w:keepNext/>
      </w:pPr>
      <w:r>
        <w:t>9. Work packages and deliverables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900"/>
        <w:gridCol w:w="3060"/>
        <w:gridCol w:w="2100"/>
        <w:gridCol w:w="3300"/>
      </w:tblGrid>
      <w:tr>
        <w:trPr>
          <w:cantSplit/>
          <w:tblHeader w:val="true"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WP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Work package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Owner role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Exit evidence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WP1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Literature, threat model and protocol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Communications lead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Approved scope, codebook and metrics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WP2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6DoF model, controller and trajectory safety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Control lead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Validated tracking plots and tests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WP3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Visual receiver and decoder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Perception lead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Offline and live symbol confusion matrix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Willie detector and covertness analysis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Data lead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Held-out ROC/AUC/DEP pipeline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WP5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Hardware integration and flight trials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Integration/safety lead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Repeatable demonstration and raw logs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WP6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Report, videos and reproducibility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All; editor assigned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Final package and contribution log</w:t>
            </w:r>
          </w:p>
        </w:tc>
      </w:tr>
    </w:tbl>
    <w:p>
      <w:pPr>
        <w:pStyle w:val="Heading2"/>
        <w:keepNext/>
      </w:pPr>
      <w:r>
        <w:t>10. Milestones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780"/>
        <w:gridCol w:w="4860"/>
        <w:gridCol w:w="3720"/>
      </w:tblGrid>
      <w:tr>
        <w:trPr>
          <w:cantSplit/>
          <w:tblHeader w:val="true"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Week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Primary work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Gate / output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Confirm interpretation, equipment, roles and safety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Supervisor decisions recorded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Threat model, literature matrix, MVP metrics; order hardware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Scope frozen for Charter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Submit Charter; repository and nominal simulator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Charter + baseline trajectory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Ref B 6DoF and cascaded controller reproduction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Tracking and equation checks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Frame, inverse encoder, planner and unit tests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Synthetic payload round trip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Receiver tracking, filtering and segmentation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Offline video decode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End-to-end simulation and conspicuous baseline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B1 confusion matrix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Willie H0/H1 pipeline and micro-motion search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First BER–AUC trade-off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Hardware commissioning; normal flight only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Failsafe and logging sign-off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Encoded hardware flights and matched H0/H1 data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Dataset complete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Statistical analysis, ablations and confidence intervals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Figures frozen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Report/video draft; only critical reruns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Internal review</w:t>
            </w:r>
          </w:p>
        </w:tc>
      </w:tr>
      <w:tr>
        <w:trPr>
          <w:cantSplit/>
        </w:trPr>
        <w:tc>
          <w:tcPr>
            <w:tcW w:type="dxa" w:w="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13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Fresh reproducibility run and submission</w:t>
            </w:r>
          </w:p>
        </w:tc>
        <w:tc>
          <w:tcPr>
            <w:tcW w:type="dxa" w:w="3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Report + team/individual videos</w:t>
            </w:r>
          </w:p>
        </w:tc>
      </w:tr>
    </w:tbl>
    <w:p>
      <w:pPr>
        <w:pStyle w:val="Heading2"/>
        <w:keepNext/>
      </w:pPr>
      <w:r>
        <w:t>11. Resources and budget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2640"/>
        <w:gridCol w:w="2820"/>
        <w:gridCol w:w="1500"/>
        <w:gridCol w:w="2400"/>
      </w:tblGrid>
      <w:tr>
        <w:trPr>
          <w:cantSplit/>
          <w:tblHeader w:val="true"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Item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Plan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Budget (S$)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7"/>
              </w:rPr>
              <w:t>Decision rule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Micro-UAV + radio + optical-flow deck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Crazyflie-class bundle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550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Use lab stock first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RGB camera and tripod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60 fps preferred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Use existing camera if adequate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Batteries, charger, props/motor spares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Flight consumables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90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Purchase early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Safety net, prop guards, landing mat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Indoor safety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Mandatory before trials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Markers, printing, fan and fixtures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Experiment support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Low-cost/local fabrication</w:t>
            </w:r>
          </w:p>
        </w:tc>
      </w:tr>
      <w:tr>
        <w:trPr>
          <w:cantSplit/>
        </w:trPr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Freight/tax/contingency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Reserve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140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Do not buy event camera</w:t>
            </w:r>
          </w:p>
        </w:tc>
      </w:tr>
    </w:tbl>
    <w:p>
      <w:pPr>
        <w:jc w:val="both"/>
      </w:pPr>
      <w:r>
        <w:rPr>
          <w:rFonts w:ascii="Calibri" w:hAnsi="Calibri"/>
          <w:i/>
          <w:color w:val="000000"/>
          <w:sz w:val="22"/>
        </w:rPr>
        <w:t>Total planned ceiling: S$1,000. An event camera and Lighthouse system are laboratory-loan/stretch resources only; purchasing them would displace core safety and flight hardware.</w:t>
      </w:r>
    </w:p>
    <w:p>
      <w:pPr>
        <w:pStyle w:val="Heading2"/>
        <w:keepNext/>
      </w:pPr>
      <w:r>
        <w:t>12. Risks, safety and ethics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1740"/>
        <w:gridCol w:w="1440"/>
        <w:gridCol w:w="3240"/>
        <w:gridCol w:w="2940"/>
      </w:tblGrid>
      <w:tr>
        <w:trPr>
          <w:cantSplit/>
          <w:tblHeader w:val="true"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Risk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Likelihood / impact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Mitigation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6"/>
              </w:rPr>
              <w:t>Trigger / fallback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Hardware delay/failure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 / H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Order by Week 2; keep simulation-first path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Deliver SITL + recorded-video receiver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Visual tracking unreliable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 / H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Marker, calibration, good light, filtering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Increase symbol time/amplitude; offline decode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Codebook is detectable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H / M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Treat as research result; keyed variants and smoothing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Report Pareto boundary, not unsupported covert claim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Scope creep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H / H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MVP freeze in Week 3; event/SNN/dual-UAV are stretch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Drop stretch tasks after missed gate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Unsafe flight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L / H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Indoor cage, prop guards, ≤1 m, spotter, e-stop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Abort and revert to prop-off/SITL tests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Data leakage/overfit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 / H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Split by flight session; frozen test set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Repeat with new sessions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Human-subject approval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 / M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No participant study in MVP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Use ML Willie and archived/public stimuli</w:t>
            </w:r>
          </w:p>
        </w:tc>
      </w:tr>
    </w:tbl>
    <w:p>
      <w:pPr>
        <w:pStyle w:val="Heading2"/>
        <w:keepNext/>
      </w:pPr>
      <w:r>
        <w:t>13. Governance and change control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The team leader maintains the task board, weekly decisions, contribution log and experiment register.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 configuration file and immutable run identifier link every plot to code version, hardware condition and raw data.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Changes affecting scope, safety, budget or success metrics require supervisor approval and an updated Charter decision log.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A weekly 15-minute integration review checks the next gate, blockers, ownership and evidence, not only activity.</w:t>
      </w:r>
    </w:p>
    <w:p>
      <w:pPr>
        <w:pStyle w:val="ListBullet"/>
        <w:spacing w:after="80" w:line="290" w:lineRule="auto"/>
      </w:pPr>
      <w:r>
        <w:rPr>
          <w:rFonts w:ascii="Calibri" w:hAnsi="Calibri"/>
          <w:color w:val="000000"/>
          <w:sz w:val="22"/>
        </w:rPr>
        <w:t>The report will distinguish measured covertness from message confidentiality and will document negative results and limitations.</w:t>
      </w:r>
    </w:p>
    <w:p>
      <w:pPr>
        <w:pStyle w:val="Heading2"/>
        <w:keepNext/>
      </w:pPr>
      <w:r>
        <w:t>14. Immediate supervisor decisions requested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Can the original Ref B Simulink model, scripts, thresholds and controller settings be shared, and are the identified equation inconsistencies known errata?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Is the intended payload arbitrary user data, or is the goal only to broadcast the UAV's observed state?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Must the final receiver be an independent camera, or is telemetry-based decoding acceptable for any assessed component?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Should formal H0/H1 low-probability-of-detection metrics be treated as a required outcome?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Which UAV, positioning, camera, event-camera and safety facilities are available in the laboratory?</w:t>
      </w:r>
    </w:p>
    <w:p>
      <w:pPr>
        <w:numPr>
          <w:ilvl w:val="0"/>
          <w:numId w:val="12"/>
        </w:numPr>
        <w:spacing w:after="80" w:line="290" w:lineRule="auto"/>
      </w:pPr>
      <w:r>
        <w:rPr>
          <w:rFonts w:ascii="Calibri" w:hAnsi="Calibri"/>
          <w:color w:val="000000"/>
          <w:sz w:val="22"/>
        </w:rPr>
        <w:t>Does the supervisor prefer exact Ref B reproduction before the micro-motion extension, or a reduced fixed-altitude implementation from the outset?</w:t>
      </w:r>
    </w:p>
    <w:p>
      <w:pPr>
        <w:pStyle w:val="Heading2"/>
        <w:keepNext/>
      </w:pPr>
      <w:r>
        <w:t>15. Approval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D9E2F0"/>
          <w:left w:val="single" w:sz="5" w:space="0" w:color="D9E2F0"/>
          <w:bottom w:val="single" w:sz="5" w:space="0" w:color="D9E2F0"/>
          <w:right w:val="single" w:sz="5" w:space="0" w:color="D9E2F0"/>
          <w:insideH w:val="single" w:sz="5" w:space="0" w:color="D9E2F0"/>
          <w:insideV w:val="single" w:sz="5" w:space="0" w:color="D9E2F0"/>
        </w:tblBorders>
      </w:tblPr>
      <w:tblGrid>
        <w:gridCol w:w="1740"/>
        <w:gridCol w:w="2940"/>
        <w:gridCol w:w="2700"/>
        <w:gridCol w:w="1980"/>
      </w:tblGrid>
      <w:tr>
        <w:trPr>
          <w:cantSplit/>
          <w:tblHeader w:val="true"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Role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Name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Signature</w:t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/>
                <w:color w:val="000000"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Supervisor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Dr Shuping Dang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Team leader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[TO COMPLETE]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  <w:tr>
        <w:trPr>
          <w:cantSplit/>
        </w:trPr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Team members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[TO COMPLETE]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  <w:tc>
          <w:tcPr>
            <w:tcW w:type="dxa" w:w="19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8"/>
              </w:rPr>
            </w:r>
          </w:p>
        </w:tc>
      </w:tr>
    </w:tbl>
    <w:p>
      <w:pPr>
        <w:pStyle w:val="Heading1"/>
        <w:keepNext/>
      </w:pPr>
      <w:r>
        <w:t>References</w:t>
      </w:r>
    </w:p>
    <w:p>
      <w:pPr>
        <w:spacing w:after="120"/>
        <w:ind w:left="547" w:hanging="547"/>
        <w:jc w:val="left"/>
      </w:pPr>
      <w:r>
        <w:rPr>
          <w:rFonts w:ascii="Calibri" w:hAnsi="Calibri"/>
          <w:b/>
          <w:color w:val="0B2545"/>
          <w:sz w:val="19"/>
        </w:rPr>
        <w:t xml:space="preserve">[A] </w:t>
      </w:r>
      <w:r>
        <w:rPr>
          <w:rFonts w:ascii="Calibri" w:hAnsi="Calibri"/>
          <w:color w:val="000000"/>
          <w:sz w:val="19"/>
        </w:rPr>
        <w:t xml:space="preserve">N. Zhang, H. W. Ho and Y. Zhou, “MoCom: Motion-Based Inter-MAV Visual Communication Using Event Vision and Spiking Neural Networks,” IEEE Transactions on Robotics, vol. 42, pp. 1680–1694, 2026. DOI: 10.1109/TRO.2026.3677077. </w:t>
      </w:r>
      <w:hyperlink r:id="rId11">
        <w:r>
          <w:rPr>
            <w:color w:val="2E74B5"/>
            <w:u w:val="single"/>
            <w:rFonts w:ascii="Calibri" w:hAnsi="Calibri"/>
          </w:rPr>
          <w:t>Publisher link</w:t>
        </w:r>
      </w:hyperlink>
    </w:p>
    <w:p>
      <w:pPr>
        <w:spacing w:after="120"/>
        <w:ind w:left="547" w:hanging="547"/>
        <w:jc w:val="left"/>
      </w:pPr>
      <w:r>
        <w:rPr>
          <w:rFonts w:ascii="Calibri" w:hAnsi="Calibri"/>
          <w:b/>
          <w:color w:val="0B2545"/>
          <w:sz w:val="19"/>
        </w:rPr>
        <w:t xml:space="preserve">[B] </w:t>
      </w:r>
      <w:r>
        <w:rPr>
          <w:rFonts w:ascii="Calibri" w:hAnsi="Calibri"/>
          <w:color w:val="000000"/>
          <w:sz w:val="19"/>
        </w:rPr>
        <w:t xml:space="preserve">F. Yu, J. Ye, S. Dang, M. Kaneko, R. M. Shubair and M. Chafii, “Covert Communications by Encoding UAV Motion States: Joint Design of Codebook and Controller,” IEEE ICC, pp. 1808–1813, 2025. DOI: 10.1109/ICC52391.2025.11161329. </w:t>
      </w:r>
      <w:hyperlink r:id="rId12">
        <w:r>
          <w:rPr>
            <w:color w:val="2E74B5"/>
            <w:u w:val="single"/>
            <w:rFonts w:ascii="Calibri" w:hAnsi="Calibri"/>
          </w:rPr>
          <w:t>Publisher link</w:t>
        </w:r>
      </w:hyperlink>
    </w:p>
    <w:p>
      <w:pPr>
        <w:spacing w:after="120"/>
        <w:ind w:left="547" w:hanging="547"/>
        <w:jc w:val="left"/>
      </w:pPr>
      <w:r>
        <w:rPr>
          <w:rFonts w:ascii="Calibri" w:hAnsi="Calibri"/>
          <w:b/>
          <w:color w:val="0B2545"/>
          <w:sz w:val="19"/>
        </w:rPr>
        <w:t xml:space="preserve">[C] </w:t>
      </w:r>
      <w:r>
        <w:rPr>
          <w:rFonts w:ascii="Calibri" w:hAnsi="Calibri"/>
          <w:color w:val="000000"/>
          <w:sz w:val="19"/>
        </w:rPr>
        <w:t xml:space="preserve">B. A. Duncan, E. Beachly, A. Bevins, S. G. Elbaum and C. Detweiler, “Investigation of Communicative Flight Paths for Small Unmanned Aerial Systems,” IEEE ICRA, pp. 602–609, 2018. DOI: 10.1109/ICRA.2018.8462871. </w:t>
      </w:r>
      <w:hyperlink r:id="rId13">
        <w:r>
          <w:rPr>
            <w:color w:val="2E74B5"/>
            <w:u w:val="single"/>
            <w:rFonts w:ascii="Calibri" w:hAnsi="Calibri"/>
          </w:rPr>
          <w:t>Publisher link</w:t>
        </w:r>
      </w:hyperlink>
    </w:p>
    <w:p>
      <w:pPr>
        <w:spacing w:after="120"/>
        <w:ind w:left="547" w:hanging="547"/>
        <w:jc w:val="left"/>
      </w:pPr>
      <w:r>
        <w:rPr>
          <w:rFonts w:ascii="Calibri" w:hAnsi="Calibri"/>
          <w:b/>
          <w:color w:val="0B2545"/>
          <w:sz w:val="19"/>
        </w:rPr>
        <w:t xml:space="preserve">[D] </w:t>
      </w:r>
      <w:r>
        <w:rPr>
          <w:rFonts w:ascii="Calibri" w:hAnsi="Calibri"/>
          <w:color w:val="000000"/>
          <w:sz w:val="19"/>
        </w:rPr>
        <w:t>EE6008 Course Information and Schedule, Collaborative Research and Development Project, course document supplied to the team.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9636E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9636E"/>
        <w:sz w:val="17"/>
      </w:rPr>
      <w:t>EE6008  |  PROJECT CHARTER AND LITERATURE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5C00009"/>
    <w:multiLevelType w:val="singleLevel"/>
    <w:tmpl w:val="B7D00009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9"/>
      </w:pPr>
    </w:lvl>
  </w:abstractNum>
  <w:abstractNum w:abstractNumId="10">
    <w:nsid w:val="A5C0000A"/>
    <w:multiLevelType w:val="singleLevel"/>
    <w:tmpl w:val="B7D0000A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9"/>
      </w:pPr>
    </w:lvl>
  </w:abstractNum>
  <w:abstractNum w:abstractNumId="11">
    <w:nsid w:val="A5C0000B"/>
    <w:multiLevelType w:val="singleLevel"/>
    <w:tmpl w:val="B7D0000B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9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i.org/10.1109/TRO.2026.3677077" TargetMode="External"/><Relationship Id="rId12" Type="http://schemas.openxmlformats.org/officeDocument/2006/relationships/hyperlink" Target="https://doi.org/10.1109/ICC52391.2025.11161329" TargetMode="External"/><Relationship Id="rId13" Type="http://schemas.openxmlformats.org/officeDocument/2006/relationships/hyperlink" Target="https://doi.org/10.1109/ICRA.2018.84628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EE6008 Project Charter - UAV Motion State Based Covert Communications</dc:title>
  <dc:subject>Literature guide and project charter</dc:subject>
  <dc:creator>EE6008 Project Team</dc:creator>
  <cp:keywords>UAV, motion communication, covert communication, Crazyflie, project charter</cp:keywords>
  <dc:description>Draft prepared for supervisor review; team identity fields remain to be completed.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