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Займ под ПТС.</w:t>
      </w:r>
    </w:p>
    <w:p>
      <w:r>
        <w:t>Авто остаётся у вас.</w:t>
      </w:r>
    </w:p>
    <w:p>
      <w:r>
        <w:t>Реклама ООО МФК «ЦФР ВИ» размещалась в поисковой системе в 2024 году.</w:t>
      </w:r>
    </w:p>
    <w:p>
      <w:r>
        <w:t>Условия микрозайма (полная стоимость, срок, сумма, особые требования к заёмщику) в рекламе не приводятся, что нарушает требования ч.</w:t>
      </w:r>
    </w:p>
    <w:p>
      <w:r>
        <w:t>3 ст.</w:t>
      </w:r>
    </w:p>
    <w:p>
      <w:r>
        <w:t>28.1 ФЗ-38.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