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30EB0" w14:textId="77777777" w:rsidR="00565B27" w:rsidRPr="000B7AAD" w:rsidRDefault="00565B27" w:rsidP="008A1B91">
      <w:pPr>
        <w:spacing w:line="480" w:lineRule="auto"/>
        <w:jc w:val="center"/>
        <w:rPr>
          <w:rFonts w:eastAsia="Times New Roman" w:cstheme="minorHAnsi"/>
          <w:lang w:val="en-CA"/>
        </w:rPr>
      </w:pPr>
      <w:r w:rsidRPr="000B7AAD">
        <w:rPr>
          <w:rFonts w:eastAsia="Times New Roman" w:cstheme="minorHAnsi"/>
          <w:b/>
          <w:bCs/>
          <w:color w:val="000000"/>
          <w:lang w:val="en-CA"/>
        </w:rPr>
        <w:t>…</w:t>
      </w:r>
    </w:p>
    <w:p w14:paraId="1557467D" w14:textId="77777777" w:rsidR="00565B27" w:rsidRPr="000B7AAD" w:rsidRDefault="00565B27" w:rsidP="008A1B91">
      <w:pPr>
        <w:spacing w:line="480" w:lineRule="auto"/>
        <w:rPr>
          <w:rFonts w:eastAsia="Times New Roman" w:cstheme="minorHAnsi"/>
          <w:lang w:val="en-CA"/>
        </w:rPr>
      </w:pPr>
    </w:p>
    <w:p w14:paraId="5037E700" w14:textId="77777777" w:rsidR="00565B27" w:rsidRDefault="00565B27" w:rsidP="008A1B91">
      <w:pPr>
        <w:spacing w:line="480" w:lineRule="auto"/>
        <w:jc w:val="center"/>
        <w:rPr>
          <w:rFonts w:eastAsia="Times New Roman" w:cstheme="minorHAnsi"/>
          <w:b/>
          <w:bCs/>
          <w:color w:val="000000"/>
          <w:lang w:val="en-CA"/>
        </w:rPr>
      </w:pPr>
      <w:r w:rsidRPr="000B7AAD">
        <w:rPr>
          <w:rFonts w:eastAsia="Times New Roman" w:cstheme="minorHAnsi"/>
          <w:b/>
          <w:bCs/>
          <w:color w:val="000000"/>
          <w:lang w:val="en-CA"/>
        </w:rPr>
        <w:t>Competition or Coexistence? Pink and chum salmon trophic interactions through a dynamic and challenging section of the early marine migration route in coastal B</w:t>
      </w:r>
      <w:r>
        <w:rPr>
          <w:rFonts w:eastAsia="Times New Roman" w:cstheme="minorHAnsi"/>
          <w:b/>
          <w:bCs/>
          <w:color w:val="000000"/>
          <w:lang w:val="en-CA"/>
        </w:rPr>
        <w:t>ritish Columbia</w:t>
      </w:r>
    </w:p>
    <w:p w14:paraId="0BA5D0AE" w14:textId="77777777" w:rsidR="00565B27" w:rsidRDefault="00565B27" w:rsidP="008A1B91">
      <w:pPr>
        <w:spacing w:line="480" w:lineRule="auto"/>
        <w:rPr>
          <w:rFonts w:eastAsia="Times New Roman" w:cstheme="minorHAnsi"/>
          <w:b/>
          <w:bCs/>
          <w:color w:val="000000"/>
          <w:lang w:val="en-CA"/>
        </w:rPr>
      </w:pPr>
    </w:p>
    <w:p w14:paraId="73436957" w14:textId="77777777" w:rsidR="00565B27" w:rsidRDefault="00565B27" w:rsidP="008A1B91">
      <w:pPr>
        <w:spacing w:line="480" w:lineRule="auto"/>
        <w:jc w:val="center"/>
        <w:rPr>
          <w:rFonts w:eastAsia="Times New Roman" w:cstheme="minorHAnsi"/>
          <w:color w:val="000000"/>
          <w:lang w:val="en-CA"/>
        </w:rPr>
      </w:pPr>
      <w:r w:rsidRPr="00BE1091">
        <w:rPr>
          <w:rFonts w:eastAsia="Times New Roman" w:cstheme="minorHAnsi"/>
          <w:color w:val="000000"/>
          <w:lang w:val="en-CA"/>
        </w:rPr>
        <w:t>Vanessa Fladmark</w:t>
      </w:r>
    </w:p>
    <w:p w14:paraId="7C2D2F67" w14:textId="77777777" w:rsidR="00565B27" w:rsidRDefault="00565B27" w:rsidP="008A1B91">
      <w:pPr>
        <w:spacing w:line="480" w:lineRule="auto"/>
        <w:rPr>
          <w:rFonts w:eastAsia="Times New Roman" w:cstheme="minorHAnsi"/>
          <w:color w:val="000000"/>
          <w:lang w:val="en-CA"/>
        </w:rPr>
      </w:pPr>
    </w:p>
    <w:p w14:paraId="6C808BE9" w14:textId="77777777" w:rsidR="00565B27" w:rsidRDefault="00565B27" w:rsidP="008A1B91">
      <w:pPr>
        <w:spacing w:line="480" w:lineRule="auto"/>
        <w:jc w:val="center"/>
        <w:rPr>
          <w:rFonts w:eastAsia="Times New Roman" w:cstheme="minorHAnsi"/>
          <w:color w:val="000000"/>
          <w:lang w:val="en-CA"/>
        </w:rPr>
      </w:pPr>
      <w:r w:rsidRPr="00BE1091">
        <w:rPr>
          <w:rFonts w:eastAsia="Times New Roman" w:cstheme="minorHAnsi"/>
          <w:color w:val="000000"/>
          <w:lang w:val="en-CA"/>
        </w:rPr>
        <w:t>MSc thesis:</w:t>
      </w:r>
    </w:p>
    <w:p w14:paraId="1A844F7A" w14:textId="79191C9C" w:rsidR="00565B27" w:rsidRDefault="00565B27" w:rsidP="008A1B91">
      <w:pPr>
        <w:spacing w:line="480" w:lineRule="auto"/>
        <w:jc w:val="center"/>
        <w:rPr>
          <w:rFonts w:eastAsia="Times New Roman" w:cstheme="minorHAnsi"/>
          <w:color w:val="000000"/>
          <w:lang w:val="en-CA"/>
        </w:rPr>
      </w:pPr>
      <w:r>
        <w:rPr>
          <w:rFonts w:eastAsia="Times New Roman" w:cstheme="minorHAnsi"/>
          <w:color w:val="000000"/>
          <w:lang w:val="en-CA"/>
        </w:rPr>
        <w:t>Temporal</w:t>
      </w:r>
      <w:r w:rsidRPr="00BE1091">
        <w:rPr>
          <w:rFonts w:eastAsia="Times New Roman" w:cstheme="minorHAnsi"/>
          <w:color w:val="000000"/>
          <w:lang w:val="en-CA"/>
        </w:rPr>
        <w:t xml:space="preserve"> data chapter draft</w:t>
      </w:r>
    </w:p>
    <w:p w14:paraId="60E9A91A" w14:textId="77777777" w:rsidR="00565B27" w:rsidRDefault="00565B27" w:rsidP="008A1B91">
      <w:pPr>
        <w:spacing w:line="480" w:lineRule="auto"/>
        <w:rPr>
          <w:rFonts w:eastAsia="Times New Roman" w:cstheme="minorHAnsi"/>
          <w:color w:val="000000"/>
          <w:lang w:val="en-CA"/>
        </w:rPr>
      </w:pPr>
    </w:p>
    <w:p w14:paraId="1CA7F75C" w14:textId="0C075A86" w:rsidR="00565B27" w:rsidRDefault="00565B27" w:rsidP="008A1B91">
      <w:pPr>
        <w:spacing w:line="480" w:lineRule="auto"/>
        <w:jc w:val="center"/>
        <w:rPr>
          <w:rFonts w:eastAsia="Times New Roman" w:cstheme="minorHAnsi"/>
          <w:lang w:val="en-CA"/>
        </w:rPr>
      </w:pPr>
      <w:r>
        <w:rPr>
          <w:rFonts w:eastAsia="Times New Roman" w:cstheme="minorHAnsi"/>
          <w:color w:val="000000"/>
          <w:lang w:val="en-CA"/>
        </w:rPr>
        <w:t>V</w:t>
      </w:r>
      <w:r w:rsidRPr="00BE1091">
        <w:rPr>
          <w:rFonts w:eastAsia="Times New Roman" w:cstheme="minorHAnsi"/>
          <w:color w:val="000000"/>
          <w:lang w:val="en-CA"/>
        </w:rPr>
        <w:t>ersion</w:t>
      </w:r>
      <w:r>
        <w:rPr>
          <w:rFonts w:eastAsia="Times New Roman" w:cstheme="minorHAnsi"/>
          <w:color w:val="000000"/>
          <w:lang w:val="en-CA"/>
        </w:rPr>
        <w:t>:</w:t>
      </w:r>
      <w:r w:rsidRPr="00BE1091">
        <w:rPr>
          <w:rFonts w:eastAsia="Times New Roman" w:cstheme="minorHAnsi"/>
          <w:color w:val="000000"/>
          <w:lang w:val="en-CA"/>
        </w:rPr>
        <w:t xml:space="preserve"> </w:t>
      </w:r>
      <w:r w:rsidR="00007AA2">
        <w:rPr>
          <w:rFonts w:eastAsia="Times New Roman" w:cstheme="minorHAnsi"/>
          <w:color w:val="000000"/>
          <w:lang w:val="en-CA"/>
        </w:rPr>
        <w:t xml:space="preserve">July </w:t>
      </w:r>
      <w:r>
        <w:rPr>
          <w:rFonts w:eastAsia="Times New Roman" w:cstheme="minorHAnsi"/>
          <w:color w:val="000000"/>
          <w:lang w:val="en-CA"/>
        </w:rPr>
        <w:t>***** 2020</w:t>
      </w:r>
    </w:p>
    <w:p w14:paraId="347474C5" w14:textId="77777777" w:rsidR="00565B27" w:rsidRPr="000B7AAD" w:rsidRDefault="00565B27" w:rsidP="008A1B91">
      <w:pPr>
        <w:spacing w:line="480" w:lineRule="auto"/>
        <w:jc w:val="center"/>
        <w:rPr>
          <w:rFonts w:eastAsia="Times New Roman" w:cstheme="minorHAnsi"/>
          <w:lang w:val="en-CA"/>
        </w:rPr>
      </w:pPr>
    </w:p>
    <w:p w14:paraId="72C9363F" w14:textId="77777777" w:rsidR="00565B27" w:rsidRPr="00BE1091" w:rsidRDefault="00565B27" w:rsidP="008A1B91">
      <w:pPr>
        <w:spacing w:line="480" w:lineRule="auto"/>
        <w:jc w:val="center"/>
        <w:rPr>
          <w:rFonts w:eastAsia="Times New Roman" w:cstheme="minorHAnsi"/>
          <w:lang w:val="en-CA"/>
        </w:rPr>
      </w:pPr>
      <w:r w:rsidRPr="000B7AAD">
        <w:rPr>
          <w:rFonts w:eastAsia="Times New Roman" w:cstheme="minorHAnsi"/>
          <w:b/>
          <w:bCs/>
          <w:color w:val="000000"/>
          <w:lang w:val="en-CA"/>
        </w:rPr>
        <w:t>…</w:t>
      </w:r>
    </w:p>
    <w:p w14:paraId="2C105F4B" w14:textId="7FC55AA9" w:rsidR="0051551B" w:rsidRDefault="0051551B" w:rsidP="008A1B91">
      <w:pPr>
        <w:spacing w:line="480" w:lineRule="auto"/>
      </w:pPr>
    </w:p>
    <w:p w14:paraId="513408F3" w14:textId="5448328F" w:rsidR="00565B27" w:rsidRDefault="00565B27" w:rsidP="008A1B91">
      <w:pPr>
        <w:spacing w:line="480" w:lineRule="auto"/>
      </w:pPr>
    </w:p>
    <w:p w14:paraId="70C88172" w14:textId="571AE906" w:rsidR="00565B27" w:rsidRDefault="00565B27" w:rsidP="008A1B91">
      <w:pPr>
        <w:spacing w:line="480" w:lineRule="auto"/>
      </w:pPr>
    </w:p>
    <w:p w14:paraId="3E6A79B3" w14:textId="15CB9ECC" w:rsidR="00565B27" w:rsidRDefault="00565B27" w:rsidP="008A1B91">
      <w:pPr>
        <w:spacing w:line="480" w:lineRule="auto"/>
      </w:pPr>
    </w:p>
    <w:p w14:paraId="3F97B89F" w14:textId="3A9294A9" w:rsidR="00565B27" w:rsidRDefault="00565B27" w:rsidP="008A1B91">
      <w:pPr>
        <w:spacing w:line="480" w:lineRule="auto"/>
      </w:pPr>
    </w:p>
    <w:p w14:paraId="245DFCA0" w14:textId="44B148D0" w:rsidR="00565B27" w:rsidRDefault="00565B27" w:rsidP="008A1B91">
      <w:pPr>
        <w:spacing w:line="480" w:lineRule="auto"/>
      </w:pPr>
    </w:p>
    <w:p w14:paraId="6043205D" w14:textId="0A3D7099" w:rsidR="00565B27" w:rsidRDefault="00565B27" w:rsidP="008A1B91">
      <w:pPr>
        <w:spacing w:line="480" w:lineRule="auto"/>
      </w:pPr>
    </w:p>
    <w:p w14:paraId="721544C4" w14:textId="34FC1355" w:rsidR="00565B27" w:rsidRDefault="00565B27" w:rsidP="008A1B91">
      <w:pPr>
        <w:spacing w:line="480" w:lineRule="auto"/>
      </w:pPr>
    </w:p>
    <w:p w14:paraId="457E6EBB" w14:textId="1E6AE762" w:rsidR="00565B27" w:rsidRDefault="00565B27" w:rsidP="008A1B91">
      <w:pPr>
        <w:spacing w:line="480" w:lineRule="auto"/>
      </w:pPr>
    </w:p>
    <w:p w14:paraId="1C02E97D" w14:textId="1860C374" w:rsidR="00565B27" w:rsidRDefault="00565B27" w:rsidP="008A1B91">
      <w:pPr>
        <w:spacing w:line="480" w:lineRule="auto"/>
        <w:rPr>
          <w:rFonts w:eastAsia="Times New Roman" w:cstheme="minorHAnsi"/>
          <w:b/>
          <w:bCs/>
          <w:color w:val="000000"/>
          <w:lang w:val="en-CA"/>
        </w:rPr>
      </w:pPr>
      <w:r w:rsidRPr="00565B27">
        <w:rPr>
          <w:rFonts w:eastAsia="Times New Roman" w:cstheme="minorHAnsi"/>
          <w:b/>
          <w:bCs/>
          <w:color w:val="000000"/>
          <w:lang w:val="en-CA"/>
        </w:rPr>
        <w:lastRenderedPageBreak/>
        <w:t>Chapter 3: Salmon trophic interactions shift with prey phenology and migration timing</w:t>
      </w:r>
    </w:p>
    <w:p w14:paraId="5336EAE4" w14:textId="77777777" w:rsidR="00565B27" w:rsidRDefault="00565B27" w:rsidP="008A1B91">
      <w:pPr>
        <w:spacing w:line="480" w:lineRule="auto"/>
        <w:rPr>
          <w:rFonts w:eastAsia="Times New Roman" w:cstheme="minorHAnsi"/>
          <w:b/>
          <w:bCs/>
          <w:color w:val="000000"/>
          <w:lang w:val="en-CA"/>
        </w:rPr>
      </w:pPr>
    </w:p>
    <w:p w14:paraId="2D2722E1" w14:textId="09340B7B" w:rsidR="00565B27" w:rsidRPr="00565B27" w:rsidRDefault="00565B27" w:rsidP="008A1B91">
      <w:pPr>
        <w:spacing w:line="480" w:lineRule="auto"/>
        <w:rPr>
          <w:rFonts w:eastAsia="Times New Roman" w:cstheme="minorHAnsi"/>
          <w:lang w:val="en-CA"/>
        </w:rPr>
      </w:pPr>
      <w:r>
        <w:rPr>
          <w:rFonts w:eastAsia="Times New Roman" w:cstheme="minorHAnsi"/>
          <w:b/>
          <w:bCs/>
          <w:color w:val="000000"/>
          <w:lang w:val="en-CA"/>
        </w:rPr>
        <w:t>3.1 Introduction</w:t>
      </w:r>
    </w:p>
    <w:p w14:paraId="36C4269E" w14:textId="77777777" w:rsidR="00565B27" w:rsidRPr="00565B27" w:rsidRDefault="00565B27" w:rsidP="008A1B91">
      <w:pPr>
        <w:spacing w:line="480" w:lineRule="auto"/>
        <w:rPr>
          <w:rFonts w:eastAsia="Times New Roman" w:cstheme="minorHAnsi"/>
          <w:lang w:val="en-CA"/>
        </w:rPr>
      </w:pPr>
    </w:p>
    <w:p w14:paraId="1E0A5CCF" w14:textId="77777777" w:rsidR="00565B27" w:rsidRPr="00565B27" w:rsidRDefault="00565B27" w:rsidP="008A1B91">
      <w:pPr>
        <w:spacing w:line="480" w:lineRule="auto"/>
        <w:rPr>
          <w:rFonts w:eastAsia="Times New Roman" w:cstheme="minorHAnsi"/>
          <w:lang w:val="en-CA"/>
        </w:rPr>
      </w:pPr>
      <w:r w:rsidRPr="00565B27">
        <w:rPr>
          <w:rFonts w:eastAsia="Times New Roman" w:cstheme="minorHAnsi"/>
          <w:color w:val="000000"/>
          <w:lang w:val="en-CA"/>
        </w:rPr>
        <w:tab/>
        <w:t>There are many different factors affecting the early marine survival of Pacific salmon, including migration run timing and whether it coincides with good quality and quantity of prey. </w:t>
      </w:r>
    </w:p>
    <w:p w14:paraId="0E9729C6" w14:textId="77777777" w:rsidR="00565B27" w:rsidRPr="00565B27" w:rsidRDefault="00565B27" w:rsidP="008A1B91">
      <w:pPr>
        <w:spacing w:line="480" w:lineRule="auto"/>
        <w:rPr>
          <w:rFonts w:eastAsia="Times New Roman" w:cstheme="minorHAnsi"/>
          <w:lang w:val="en-CA"/>
        </w:rPr>
      </w:pPr>
    </w:p>
    <w:p w14:paraId="582A49B9" w14:textId="77777777" w:rsidR="00565B27" w:rsidRPr="00565B27" w:rsidRDefault="00565B27" w:rsidP="008A1B91">
      <w:pPr>
        <w:spacing w:line="480" w:lineRule="auto"/>
        <w:rPr>
          <w:rFonts w:eastAsia="Times New Roman" w:cstheme="minorHAnsi"/>
          <w:lang w:val="en-CA"/>
        </w:rPr>
      </w:pPr>
      <w:r w:rsidRPr="00565B27">
        <w:rPr>
          <w:rFonts w:eastAsia="Times New Roman" w:cstheme="minorHAnsi"/>
          <w:color w:val="000000"/>
          <w:lang w:val="en-CA"/>
        </w:rPr>
        <w:tab/>
        <w:t>Zooplankton phenology is largely determined by ocean conditions and phytoplankton dynamics, and zooplankton community succession significantly impacts upper trophic levels.</w:t>
      </w:r>
    </w:p>
    <w:p w14:paraId="695B3245" w14:textId="77777777" w:rsidR="00565B27" w:rsidRPr="00565B27" w:rsidRDefault="00565B27" w:rsidP="008A1B91">
      <w:pPr>
        <w:spacing w:line="480" w:lineRule="auto"/>
        <w:rPr>
          <w:rFonts w:eastAsia="Times New Roman" w:cstheme="minorHAnsi"/>
          <w:lang w:val="en-CA"/>
        </w:rPr>
      </w:pPr>
    </w:p>
    <w:p w14:paraId="6AA468C4" w14:textId="77777777" w:rsidR="00565B27" w:rsidRPr="00565B27" w:rsidRDefault="00565B27" w:rsidP="008A1B91">
      <w:pPr>
        <w:spacing w:line="480" w:lineRule="auto"/>
        <w:rPr>
          <w:rFonts w:eastAsia="Times New Roman" w:cstheme="minorHAnsi"/>
          <w:lang w:val="en-CA"/>
        </w:rPr>
      </w:pPr>
      <w:r w:rsidRPr="00565B27">
        <w:rPr>
          <w:rFonts w:eastAsia="Times New Roman" w:cstheme="minorHAnsi"/>
          <w:color w:val="000000"/>
          <w:lang w:val="en-CA"/>
        </w:rPr>
        <w:tab/>
        <w:t>Salmon diets have been found to be variable over time, therefore any interspecific interactions and competition for prey resources may also vary seasonally and inter-annually.</w:t>
      </w:r>
    </w:p>
    <w:p w14:paraId="40541007" w14:textId="77777777" w:rsidR="00565B27" w:rsidRPr="00565B27" w:rsidRDefault="00565B27" w:rsidP="008A1B91">
      <w:pPr>
        <w:spacing w:line="480" w:lineRule="auto"/>
        <w:rPr>
          <w:rFonts w:eastAsia="Times New Roman" w:cstheme="minorHAnsi"/>
          <w:lang w:val="en-CA"/>
        </w:rPr>
      </w:pPr>
    </w:p>
    <w:p w14:paraId="73F7BACD" w14:textId="77777777" w:rsidR="00565B27" w:rsidRPr="00565B27" w:rsidRDefault="00565B27" w:rsidP="008A1B91">
      <w:pPr>
        <w:spacing w:line="480" w:lineRule="auto"/>
        <w:rPr>
          <w:rFonts w:eastAsia="Times New Roman" w:cstheme="minorHAnsi"/>
          <w:lang w:val="en-CA"/>
        </w:rPr>
      </w:pPr>
      <w:r w:rsidRPr="00565B27">
        <w:rPr>
          <w:rFonts w:eastAsia="Times New Roman" w:cstheme="minorHAnsi"/>
          <w:color w:val="000000"/>
          <w:lang w:val="en-CA"/>
        </w:rPr>
        <w:tab/>
        <w:t>The size of salmon in relation to size of zooplankton prey is another important factor influenced by salmon size at ocean entry and growth rate during the first few months at sea.</w:t>
      </w:r>
    </w:p>
    <w:p w14:paraId="01C637A6" w14:textId="77777777" w:rsidR="00565B27" w:rsidRPr="00565B27" w:rsidRDefault="00565B27" w:rsidP="008A1B91">
      <w:pPr>
        <w:spacing w:line="480" w:lineRule="auto"/>
        <w:rPr>
          <w:rFonts w:eastAsia="Times New Roman" w:cstheme="minorHAnsi"/>
          <w:lang w:val="en-CA"/>
        </w:rPr>
      </w:pPr>
    </w:p>
    <w:p w14:paraId="2C518172" w14:textId="77777777" w:rsidR="00565B27" w:rsidRPr="00565B27" w:rsidRDefault="00565B27" w:rsidP="008A1B91">
      <w:pPr>
        <w:spacing w:line="480" w:lineRule="auto"/>
        <w:rPr>
          <w:rFonts w:eastAsia="Times New Roman" w:cstheme="minorHAnsi"/>
          <w:lang w:val="en-CA"/>
        </w:rPr>
      </w:pPr>
      <w:r w:rsidRPr="00565B27">
        <w:rPr>
          <w:rFonts w:eastAsia="Times New Roman" w:cstheme="minorHAnsi"/>
          <w:color w:val="000000"/>
          <w:lang w:val="en-CA"/>
        </w:rPr>
        <w:tab/>
        <w:t>Previous studies in coastal British Columbia have shown Discovery Islands to be very seasonally dynamic, whereas Johnstone Strait is more consistent with no seasonality. </w:t>
      </w:r>
    </w:p>
    <w:p w14:paraId="4DDFB75A" w14:textId="77777777" w:rsidR="00565B27" w:rsidRPr="00565B27" w:rsidRDefault="00565B27" w:rsidP="008A1B91">
      <w:pPr>
        <w:spacing w:line="480" w:lineRule="auto"/>
        <w:rPr>
          <w:rFonts w:eastAsia="Times New Roman" w:cstheme="minorHAnsi"/>
          <w:lang w:val="en-CA"/>
        </w:rPr>
      </w:pPr>
    </w:p>
    <w:p w14:paraId="1A89C65F" w14:textId="77777777" w:rsidR="00565B27" w:rsidRPr="00565B27" w:rsidRDefault="00565B27" w:rsidP="008A1B91">
      <w:pPr>
        <w:spacing w:line="480" w:lineRule="auto"/>
        <w:rPr>
          <w:rFonts w:eastAsia="Times New Roman" w:cstheme="minorHAnsi"/>
          <w:lang w:val="en-CA"/>
        </w:rPr>
      </w:pPr>
      <w:r w:rsidRPr="00565B27">
        <w:rPr>
          <w:rFonts w:eastAsia="Times New Roman" w:cstheme="minorHAnsi"/>
          <w:color w:val="000000"/>
          <w:lang w:val="en-CA"/>
        </w:rPr>
        <w:tab/>
        <w:t>Seasonal and interannual oceanography, prey dynamics and salmon migration timing are linked to salmon survival and requires better understanding within the Pacific Northwest.</w:t>
      </w:r>
    </w:p>
    <w:p w14:paraId="328BF9B6" w14:textId="77777777" w:rsidR="00565B27" w:rsidRPr="00565B27" w:rsidRDefault="00565B27" w:rsidP="008A1B91">
      <w:pPr>
        <w:spacing w:line="480" w:lineRule="auto"/>
        <w:rPr>
          <w:rFonts w:eastAsia="Times New Roman" w:cstheme="minorHAnsi"/>
          <w:lang w:val="en-CA"/>
        </w:rPr>
      </w:pPr>
    </w:p>
    <w:p w14:paraId="3EF794BB" w14:textId="77777777" w:rsidR="00565B27" w:rsidRPr="00565B27" w:rsidRDefault="00565B27" w:rsidP="008A1B91">
      <w:pPr>
        <w:spacing w:line="480" w:lineRule="auto"/>
        <w:rPr>
          <w:rFonts w:eastAsia="Times New Roman" w:cstheme="minorHAnsi"/>
          <w:lang w:val="en-CA"/>
        </w:rPr>
      </w:pPr>
      <w:r w:rsidRPr="00565B27">
        <w:rPr>
          <w:rFonts w:eastAsia="Times New Roman" w:cstheme="minorHAnsi"/>
          <w:color w:val="000000"/>
          <w:lang w:val="en-CA"/>
        </w:rPr>
        <w:tab/>
        <w:t>This study will investigate the relationships between juvenile pink and chum salmon foraging and the zooplankton community composition throughout early salmon outmigration.</w:t>
      </w:r>
    </w:p>
    <w:p w14:paraId="3B11AD10" w14:textId="77777777" w:rsidR="00565B27" w:rsidRPr="00565B27" w:rsidRDefault="00565B27" w:rsidP="008A1B91">
      <w:pPr>
        <w:spacing w:line="480" w:lineRule="auto"/>
        <w:rPr>
          <w:rFonts w:eastAsia="Times New Roman" w:cstheme="minorHAnsi"/>
          <w:lang w:val="en-CA"/>
        </w:rPr>
      </w:pPr>
    </w:p>
    <w:p w14:paraId="25519B7B" w14:textId="204565CB" w:rsidR="00565B27" w:rsidRDefault="00565B27" w:rsidP="008A1B91">
      <w:pPr>
        <w:spacing w:line="480" w:lineRule="auto"/>
        <w:rPr>
          <w:b/>
          <w:bCs/>
        </w:rPr>
      </w:pPr>
      <w:r w:rsidRPr="00565B27">
        <w:rPr>
          <w:b/>
          <w:bCs/>
        </w:rPr>
        <w:t xml:space="preserve">3.2 </w:t>
      </w:r>
      <w:commentRangeStart w:id="0"/>
      <w:r w:rsidRPr="00565B27">
        <w:rPr>
          <w:b/>
          <w:bCs/>
        </w:rPr>
        <w:t>Methods</w:t>
      </w:r>
      <w:commentRangeEnd w:id="0"/>
      <w:r w:rsidR="001D5825">
        <w:rPr>
          <w:rStyle w:val="CommentReference"/>
        </w:rPr>
        <w:commentReference w:id="0"/>
      </w:r>
    </w:p>
    <w:p w14:paraId="7C6E1DEC" w14:textId="277EE07F" w:rsidR="00565B27" w:rsidRDefault="00565B27" w:rsidP="008A1B91">
      <w:pPr>
        <w:spacing w:line="480" w:lineRule="auto"/>
      </w:pPr>
    </w:p>
    <w:p w14:paraId="215D8A62" w14:textId="3F1A12B1" w:rsidR="007A43B0" w:rsidRDefault="007A43B0" w:rsidP="008A1B91">
      <w:pPr>
        <w:spacing w:line="480" w:lineRule="auto"/>
        <w:rPr>
          <w:rFonts w:eastAsia="Times New Roman" w:cstheme="minorHAnsi"/>
          <w:color w:val="000000"/>
          <w:lang w:val="en-CA"/>
        </w:rPr>
      </w:pPr>
      <w:r w:rsidRPr="003C4653">
        <w:rPr>
          <w:rFonts w:eastAsia="Times New Roman" w:cstheme="minorHAnsi"/>
          <w:color w:val="000000"/>
          <w:lang w:val="en-CA"/>
        </w:rPr>
        <w:tab/>
      </w:r>
      <w:r>
        <w:rPr>
          <w:rFonts w:eastAsia="Times New Roman" w:cstheme="minorHAnsi"/>
          <w:color w:val="000000"/>
          <w:lang w:val="en-CA"/>
        </w:rPr>
        <w:t xml:space="preserve">The Hakai Institute’s Juvenile Salmon Program was established in 2015 as a collaboration between </w:t>
      </w:r>
      <w:r w:rsidRPr="003C4653">
        <w:rPr>
          <w:rFonts w:eastAsia="Times New Roman" w:cstheme="minorHAnsi"/>
          <w:color w:val="000000"/>
          <w:lang w:val="en-CA"/>
        </w:rPr>
        <w:t xml:space="preserve">the Hakai Institute, </w:t>
      </w:r>
      <w:r>
        <w:rPr>
          <w:rFonts w:eastAsia="Times New Roman" w:cstheme="minorHAnsi"/>
          <w:color w:val="000000"/>
          <w:lang w:val="en-CA"/>
        </w:rPr>
        <w:t xml:space="preserve">the </w:t>
      </w:r>
      <w:r w:rsidRPr="003C4653">
        <w:rPr>
          <w:rFonts w:eastAsia="Times New Roman" w:cstheme="minorHAnsi"/>
          <w:color w:val="000000"/>
          <w:lang w:val="en-CA"/>
        </w:rPr>
        <w:t>U</w:t>
      </w:r>
      <w:r>
        <w:rPr>
          <w:rFonts w:eastAsia="Times New Roman" w:cstheme="minorHAnsi"/>
          <w:color w:val="000000"/>
          <w:lang w:val="en-CA"/>
        </w:rPr>
        <w:t xml:space="preserve">niversity of </w:t>
      </w:r>
      <w:r w:rsidRPr="003C4653">
        <w:rPr>
          <w:rFonts w:eastAsia="Times New Roman" w:cstheme="minorHAnsi"/>
          <w:color w:val="000000"/>
          <w:lang w:val="en-CA"/>
        </w:rPr>
        <w:t>B</w:t>
      </w:r>
      <w:r>
        <w:rPr>
          <w:rFonts w:eastAsia="Times New Roman" w:cstheme="minorHAnsi"/>
          <w:color w:val="000000"/>
          <w:lang w:val="en-CA"/>
        </w:rPr>
        <w:t xml:space="preserve">ritish </w:t>
      </w:r>
      <w:r w:rsidRPr="003C4653">
        <w:rPr>
          <w:rFonts w:eastAsia="Times New Roman" w:cstheme="minorHAnsi"/>
          <w:color w:val="000000"/>
          <w:lang w:val="en-CA"/>
        </w:rPr>
        <w:t>C</w:t>
      </w:r>
      <w:r>
        <w:rPr>
          <w:rFonts w:eastAsia="Times New Roman" w:cstheme="minorHAnsi"/>
          <w:color w:val="000000"/>
          <w:lang w:val="en-CA"/>
        </w:rPr>
        <w:t>olumbia, Simon Fraser University, the University of Toronto</w:t>
      </w:r>
      <w:r w:rsidRPr="003C4653">
        <w:rPr>
          <w:rFonts w:eastAsia="Times New Roman" w:cstheme="minorHAnsi"/>
          <w:color w:val="000000"/>
          <w:lang w:val="en-CA"/>
        </w:rPr>
        <w:t xml:space="preserve"> and Salmon Coast Field Station</w:t>
      </w:r>
      <w:r>
        <w:rPr>
          <w:rFonts w:eastAsia="Times New Roman" w:cstheme="minorHAnsi"/>
          <w:color w:val="000000"/>
          <w:lang w:val="en-CA"/>
        </w:rPr>
        <w:t xml:space="preserve">. This program annually samples juvenile salmon as they migrate through the Discovery Islands and Johnstone Strait during the main outmigration period (May to July).  The objective of the program is to improve </w:t>
      </w:r>
      <w:r w:rsidRPr="003C4653">
        <w:rPr>
          <w:rFonts w:eastAsia="Times New Roman" w:cstheme="minorHAnsi"/>
          <w:color w:val="000000"/>
          <w:lang w:val="en-CA"/>
        </w:rPr>
        <w:t>understand</w:t>
      </w:r>
      <w:r>
        <w:rPr>
          <w:rFonts w:eastAsia="Times New Roman" w:cstheme="minorHAnsi"/>
          <w:color w:val="000000"/>
          <w:lang w:val="en-CA"/>
        </w:rPr>
        <w:t>ing of</w:t>
      </w:r>
      <w:r w:rsidRPr="003C4653">
        <w:rPr>
          <w:rFonts w:eastAsia="Times New Roman" w:cstheme="minorHAnsi"/>
          <w:color w:val="000000"/>
          <w:lang w:val="en-CA"/>
        </w:rPr>
        <w:t xml:space="preserve"> the early marine phase of Pacific salmon</w:t>
      </w:r>
      <w:r>
        <w:rPr>
          <w:rFonts w:eastAsia="Times New Roman" w:cstheme="minorHAnsi"/>
          <w:color w:val="000000"/>
          <w:lang w:val="en-CA"/>
        </w:rPr>
        <w:t xml:space="preserve">, particularly factors contributing to health and survival </w:t>
      </w:r>
      <w:r>
        <w:rPr>
          <w:rFonts w:eastAsia="Times New Roman" w:cstheme="minorHAnsi"/>
          <w:color w:val="000000"/>
          <w:lang w:val="en-CA"/>
        </w:rPr>
        <w:fldChar w:fldCharType="begin" w:fldLock="1"/>
      </w:r>
      <w:r>
        <w:rPr>
          <w:rFonts w:eastAsia="Times New Roman" w:cstheme="minorHAnsi"/>
          <w:color w:val="000000"/>
          <w:lang w:val="en-CA"/>
        </w:rPr>
        <w:instrText>ADDIN CSL_CITATION {"citationItems":[{"id":"ITEM-1","itemData":{"author":[{"dropping-particle":"","family":"Hunt","given":"Brian P.V.","non-dropping-particle":"","parse-names":false,"suffix":""},{"dropping-particle":"","family":"Johnson","given":"Brett T.","non-dropping-particle":"","parse-names":false,"suffix":""},{"dropping-particle":"","family":"Godwin","given":"Sean C.","non-dropping-particle":"","parse-names":false,"suffix":""},{"dropping-particle":"","family":"Krkošek","given":"Martin","non-dropping-particle":"","parse-names":false,"suffix":""},{"dropping-particle":"","family":"Pakhomov","given":"Evgeny A","non-dropping-particle":"","parse-names":false,"suffix":""},{"dropping-particle":"","family":"Rogers","given":"Luke A","non-dropping-particle":"","parse-names":false,"suffix":""}],"container-title":"North Pacific Anadromous Fish Commission","id":"ITEM-1","issued":{"date-parts":[["2018"]]},"page":"14","title":"The Hakai Institute Juvenile Salmon Program : Early Life History Drivers of Marine Survival in Sockeye , Pink and Chum Salmon in British Columbia","type":"article-journal"},"uris":["http://www.mendeley.com/documents/?uuid=99abb717-e86e-49be-9c20-927bcba727af"]}],"mendeley":{"formattedCitation":"(Hunt et al., 2018)","plainTextFormattedCitation":"(Hunt et al., 2018)","previouslyFormattedCitation":"(Hunt et al., 2018)"},"properties":{"noteIndex":0},"schema":"https://github.com/citation-style-language/schema/raw/master/csl-citation.json"}</w:instrText>
      </w:r>
      <w:r>
        <w:rPr>
          <w:rFonts w:eastAsia="Times New Roman" w:cstheme="minorHAnsi"/>
          <w:color w:val="000000"/>
          <w:lang w:val="en-CA"/>
        </w:rPr>
        <w:fldChar w:fldCharType="separate"/>
      </w:r>
      <w:r w:rsidRPr="00DB41F8">
        <w:rPr>
          <w:rFonts w:eastAsia="Times New Roman" w:cstheme="minorHAnsi"/>
          <w:noProof/>
          <w:color w:val="000000"/>
          <w:lang w:val="en-CA"/>
        </w:rPr>
        <w:t>(Hunt et al., 2018)</w:t>
      </w:r>
      <w:r>
        <w:rPr>
          <w:rFonts w:eastAsia="Times New Roman" w:cstheme="minorHAnsi"/>
          <w:color w:val="000000"/>
          <w:lang w:val="en-CA"/>
        </w:rPr>
        <w:fldChar w:fldCharType="end"/>
      </w:r>
      <w:r>
        <w:rPr>
          <w:rFonts w:eastAsia="Times New Roman" w:cstheme="minorHAnsi"/>
          <w:color w:val="000000"/>
          <w:lang w:val="en-CA"/>
        </w:rPr>
        <w:t xml:space="preserve">. This study focussed on </w:t>
      </w:r>
      <w:r w:rsidR="00007AA2">
        <w:rPr>
          <w:rFonts w:eastAsia="Times New Roman" w:cstheme="minorHAnsi"/>
          <w:color w:val="000000"/>
          <w:lang w:val="en-CA"/>
        </w:rPr>
        <w:t xml:space="preserve">2015 and </w:t>
      </w:r>
      <w:r>
        <w:rPr>
          <w:rFonts w:eastAsia="Times New Roman" w:cstheme="minorHAnsi"/>
          <w:color w:val="000000"/>
          <w:lang w:val="en-CA"/>
        </w:rPr>
        <w:t xml:space="preserve">2016, which had the </w:t>
      </w:r>
      <w:r w:rsidR="00007AA2">
        <w:rPr>
          <w:rFonts w:eastAsia="Times New Roman" w:cstheme="minorHAnsi"/>
          <w:color w:val="000000"/>
          <w:lang w:val="en-CA"/>
        </w:rPr>
        <w:t>highest frequency of</w:t>
      </w:r>
      <w:r>
        <w:rPr>
          <w:rFonts w:eastAsia="Times New Roman" w:cstheme="minorHAnsi"/>
          <w:color w:val="000000"/>
          <w:lang w:val="en-CA"/>
        </w:rPr>
        <w:t xml:space="preserve"> sampling stations in an effort to resolve the primary migration </w:t>
      </w:r>
      <w:r w:rsidR="00007AA2">
        <w:rPr>
          <w:rFonts w:eastAsia="Times New Roman" w:cstheme="minorHAnsi"/>
          <w:color w:val="000000"/>
          <w:lang w:val="en-CA"/>
        </w:rPr>
        <w:t>dynamics</w:t>
      </w:r>
      <w:r>
        <w:rPr>
          <w:rFonts w:eastAsia="Times New Roman" w:cstheme="minorHAnsi"/>
          <w:color w:val="000000"/>
          <w:lang w:val="en-CA"/>
        </w:rPr>
        <w:t>.</w:t>
      </w:r>
    </w:p>
    <w:p w14:paraId="1C929890" w14:textId="77777777" w:rsidR="007A43B0" w:rsidRDefault="007A43B0" w:rsidP="008A1B91">
      <w:pPr>
        <w:spacing w:line="480" w:lineRule="auto"/>
        <w:rPr>
          <w:rFonts w:eastAsia="Times New Roman" w:cstheme="minorHAnsi"/>
          <w:color w:val="000000"/>
          <w:lang w:val="en-CA"/>
        </w:rPr>
      </w:pPr>
    </w:p>
    <w:p w14:paraId="3EF38050" w14:textId="7CC3F5BC" w:rsidR="007A43B0" w:rsidRDefault="007A43B0" w:rsidP="008A1B91">
      <w:pPr>
        <w:spacing w:line="480" w:lineRule="auto"/>
        <w:rPr>
          <w:rFonts w:eastAsia="Times New Roman" w:cstheme="minorHAnsi"/>
          <w:color w:val="000000"/>
          <w:lang w:val="en-CA"/>
        </w:rPr>
      </w:pPr>
      <w:r>
        <w:rPr>
          <w:rFonts w:eastAsia="Times New Roman" w:cstheme="minorHAnsi"/>
          <w:color w:val="000000"/>
          <w:lang w:val="en-CA"/>
        </w:rPr>
        <w:tab/>
        <w:t>E</w:t>
      </w:r>
      <w:r w:rsidRPr="003C4653">
        <w:rPr>
          <w:rFonts w:eastAsia="Times New Roman" w:cstheme="minorHAnsi"/>
          <w:color w:val="000000"/>
          <w:lang w:val="en-CA"/>
        </w:rPr>
        <w:t>very field season</w:t>
      </w:r>
      <w:r>
        <w:rPr>
          <w:rFonts w:eastAsia="Times New Roman" w:cstheme="minorHAnsi"/>
          <w:color w:val="000000"/>
          <w:lang w:val="en-CA"/>
        </w:rPr>
        <w:t xml:space="preserve"> s</w:t>
      </w:r>
      <w:r w:rsidRPr="003C4653">
        <w:rPr>
          <w:rFonts w:eastAsia="Times New Roman" w:cstheme="minorHAnsi"/>
          <w:color w:val="000000"/>
          <w:lang w:val="en-CA"/>
        </w:rPr>
        <w:t>ince 2015</w:t>
      </w:r>
      <w:r>
        <w:rPr>
          <w:rFonts w:eastAsia="Times New Roman" w:cstheme="minorHAnsi"/>
          <w:color w:val="000000"/>
          <w:lang w:val="en-CA"/>
        </w:rPr>
        <w:t>,</w:t>
      </w:r>
      <w:r w:rsidRPr="003C4653">
        <w:rPr>
          <w:rFonts w:eastAsia="Times New Roman" w:cstheme="minorHAnsi"/>
          <w:color w:val="000000"/>
          <w:lang w:val="en-CA"/>
        </w:rPr>
        <w:t xml:space="preserve"> researchers head out on oceanographic surveys, starting in May, to capture outmigrating salmon species, zooplankton samples and oceanographic data. </w:t>
      </w:r>
      <w:r>
        <w:rPr>
          <w:rFonts w:eastAsia="Times New Roman" w:cstheme="minorHAnsi"/>
          <w:color w:val="000000"/>
          <w:lang w:val="en-CA"/>
        </w:rPr>
        <w:t xml:space="preserve">In the Discovery Islands, 12 sites were sampled in 2016, and in Johnstone Strait, 10 sites were sampled, to provide coverage of all possible salmon migration routes through these regions </w:t>
      </w:r>
      <w:r>
        <w:rPr>
          <w:rFonts w:eastAsia="Times New Roman" w:cstheme="minorHAnsi"/>
          <w:color w:val="000000"/>
          <w:lang w:val="en-CA"/>
        </w:rPr>
        <w:fldChar w:fldCharType="begin" w:fldLock="1"/>
      </w:r>
      <w:r>
        <w:rPr>
          <w:rFonts w:eastAsia="Times New Roman" w:cstheme="minorHAnsi"/>
          <w:color w:val="000000"/>
          <w:lang w:val="en-CA"/>
        </w:rPr>
        <w:instrText>ADDIN CSL_CITATION {"citationItems":[{"id":"ITEM-1","itemData":{"author":[{"dropping-particle":"","family":"Hunt","given":"Brian P.V.","non-dropping-particle":"","parse-names":false,"suffix":""},{"dropping-particle":"","family":"Johnson","given":"Brett T.","non-dropping-particle":"","parse-names":false,"suffix":""},{"dropping-particle":"","family":"Godwin","given":"Sean C.","non-dropping-particle":"","parse-names":false,"suffix":""},{"dropping-particle":"","family":"Krkošek","given":"Martin","non-dropping-particle":"","parse-names":false,"suffix":""},{"dropping-particle":"","family":"Pakhomov","given":"Evgeny A","non-dropping-particle":"","parse-names":false,"suffix":""},{"dropping-particle":"","family":"Rogers","given":"Luke A","non-dropping-particle":"","parse-names":false,"suffix":""}],"container-title":"North Pacific Anadromous Fish Commission","id":"ITEM-1","issued":{"date-parts":[["2018"]]},"page":"14","title":"The Hakai Institute Juvenile Salmon Program : Early Life History Drivers of Marine Survival in Sockeye , Pink and Chum Salmon in British Columbia","type":"article-journal"},"uris":["http://www.mendeley.com/documents/?uuid=99abb717-e86e-49be-9c20-927bcba727af"]}],"mendeley":{"formattedCitation":"(Hunt et al., 2018)","plainTextFormattedCitation":"(Hunt et al., 2018)","previouslyFormattedCitation":"(Hunt et al., 2018)"},"properties":{"noteIndex":0},"schema":"https://github.com/citation-style-language/schema/raw/master/csl-citation.json"}</w:instrText>
      </w:r>
      <w:r>
        <w:rPr>
          <w:rFonts w:eastAsia="Times New Roman" w:cstheme="minorHAnsi"/>
          <w:color w:val="000000"/>
          <w:lang w:val="en-CA"/>
        </w:rPr>
        <w:fldChar w:fldCharType="separate"/>
      </w:r>
      <w:r w:rsidRPr="001215CF">
        <w:rPr>
          <w:rFonts w:eastAsia="Times New Roman" w:cstheme="minorHAnsi"/>
          <w:noProof/>
          <w:color w:val="000000"/>
          <w:lang w:val="en-CA"/>
        </w:rPr>
        <w:t>(Hunt et al., 2018)</w:t>
      </w:r>
      <w:r>
        <w:rPr>
          <w:rFonts w:eastAsia="Times New Roman" w:cstheme="minorHAnsi"/>
          <w:color w:val="000000"/>
          <w:lang w:val="en-CA"/>
        </w:rPr>
        <w:fldChar w:fldCharType="end"/>
      </w:r>
      <w:r>
        <w:rPr>
          <w:rFonts w:eastAsia="Times New Roman" w:cstheme="minorHAnsi"/>
          <w:color w:val="000000"/>
          <w:lang w:val="en-CA"/>
        </w:rPr>
        <w:t xml:space="preserve">. Sites were sampled every 4-7 days throughout the season, depending on weather conditions. For this study, </w:t>
      </w:r>
      <w:r w:rsidR="00007AA2">
        <w:rPr>
          <w:rFonts w:eastAsia="Times New Roman" w:cstheme="minorHAnsi"/>
          <w:color w:val="000000"/>
          <w:lang w:val="en-CA"/>
        </w:rPr>
        <w:t>two</w:t>
      </w:r>
      <w:r>
        <w:rPr>
          <w:rFonts w:eastAsia="Times New Roman" w:cstheme="minorHAnsi"/>
          <w:color w:val="000000"/>
          <w:lang w:val="en-CA"/>
        </w:rPr>
        <w:t xml:space="preserve"> sites (</w:t>
      </w:r>
      <w:r w:rsidR="00007AA2">
        <w:rPr>
          <w:rFonts w:eastAsia="Times New Roman" w:cstheme="minorHAnsi"/>
          <w:color w:val="000000"/>
          <w:lang w:val="en-CA"/>
        </w:rPr>
        <w:t>one</w:t>
      </w:r>
      <w:r>
        <w:rPr>
          <w:rFonts w:eastAsia="Times New Roman" w:cstheme="minorHAnsi"/>
          <w:color w:val="000000"/>
          <w:lang w:val="en-CA"/>
        </w:rPr>
        <w:t xml:space="preserve"> from each region) were selected, in order to obtain a sample size of 10 pink and 10 chum per set (n=120 total), still acquiring sufficient coverage for each region. The dates were chosen in mid-June (Table 1) to align with the peak out-migration of salmon </w:t>
      </w:r>
      <w:r>
        <w:rPr>
          <w:rFonts w:eastAsia="Times New Roman" w:cstheme="minorHAnsi"/>
          <w:color w:val="000000"/>
          <w:lang w:val="en-CA"/>
        </w:rPr>
        <w:fldChar w:fldCharType="begin" w:fldLock="1"/>
      </w:r>
      <w:r w:rsidR="001D5825">
        <w:rPr>
          <w:rFonts w:eastAsia="Times New Roman" w:cstheme="minorHAnsi"/>
          <w:color w:val="000000"/>
          <w:lang w:val="en-CA"/>
        </w:rPr>
        <w:instrText>ADDIN CSL_CITATION {"citationItems":[{"id":"ITEM-1","itemData":{"DOI":"10.23849/npafctr15/31.39.","ISSN":"10295917","abstract":"The Hakai Institute Juvenile Salmon Program has been monitoring juvenile salmon migrations in the Discovery Islands and Johnstone Strait since 2015 with the specific purpose to understand how ocean conditions experienced by juvenile salmon during their early marine migration impacts their growth, health and ultimately survival. We found that during the two of the warmest years of sea-surface temperature recorded in British Columbia, juvenile sockeye, pink, and chum left the Strait of Georgia one to two weeks earlier than previously. The temporal distribution of sockeye migration timing out of the Strait of Georgia north through the Discovery Islands was skewed right, indicating that many sockeye migrate together in late May and abundance tails off late into June and July. Pink and chum migrations are more protracted, lasting from early May to late July. Our results indicate that juvenile sockeye exit the Strait of Georgia en masse, likely in response to ocean temperature and foraging conditions. This report summarizes migration timing, fish length and weight, sea-louse loads, purse seine catch composition, and ocean temperatures observed from the first four years of this research and monitoring program. Combining key variables from this research program with observations from freshwater and high-seas sampling will provide, for some stocks, a complete account of the conditions salmon experience during their migration from their natal river to the high seas. These measures will further our knowledge of what drives early marine mortality, and better our understanding of how salmon are adapting to climate change.","author":[{"dropping-particle":"","family":"Johnson","given":"Brett","non-dropping-particle":"","parse-names":false,"suffix":""},{"dropping-particle":"","family":"Gan","given":"Julian","non-dropping-particle":"","parse-names":false,"suffix":""},{"dropping-particle":"","family":"Godwin","given":"Sean","non-dropping-particle":"","parse-names":false,"suffix":""},{"dropping-particle":"","family":"Krkosek","given":"Martin","non-dropping-particle":"","parse-names":false,"suffix":""},{"dropping-particle":"","family":"Hunt","given":"Brian","non-dropping-particle":"","parse-names":false,"suffix":""}],"container-title":"Technical Report","id":"ITEM-1","issue":"15","issued":{"date-parts":[["2019"]]},"page":"31-39","title":"Juvenile Salmon Migration Observations in the Discovery Islands and Johnstone Strait in 2018 Compared to 2015–2017","type":"article-journal"},"uris":["http://www.mendeley.com/documents/?uuid=c0903fcd-5da6-4348-9bff-789ea7c5cbdb"]}],"mendeley":{"formattedCitation":"(Johnson et al., 2019)","manualFormatting":"(Johnson et al., 2019)","plainTextFormattedCitation":"(Johnson et al., 2019)","previouslyFormattedCitation":"(B. Johnson et al., 2019)"},"properties":{"noteIndex":0},"schema":"https://github.com/citation-style-language/schema/raw/master/csl-citation.json"}</w:instrText>
      </w:r>
      <w:r>
        <w:rPr>
          <w:rFonts w:eastAsia="Times New Roman" w:cstheme="minorHAnsi"/>
          <w:color w:val="000000"/>
          <w:lang w:val="en-CA"/>
        </w:rPr>
        <w:fldChar w:fldCharType="separate"/>
      </w:r>
      <w:r w:rsidRPr="00C12468">
        <w:rPr>
          <w:rFonts w:eastAsia="Times New Roman" w:cstheme="minorHAnsi"/>
          <w:noProof/>
          <w:color w:val="000000"/>
          <w:lang w:val="en-CA"/>
        </w:rPr>
        <w:t>(Johnson et al., 2019)</w:t>
      </w:r>
      <w:r>
        <w:rPr>
          <w:rFonts w:eastAsia="Times New Roman" w:cstheme="minorHAnsi"/>
          <w:color w:val="000000"/>
          <w:lang w:val="en-CA"/>
        </w:rPr>
        <w:fldChar w:fldCharType="end"/>
      </w:r>
      <w:r>
        <w:rPr>
          <w:rFonts w:eastAsia="Times New Roman" w:cstheme="minorHAnsi"/>
          <w:color w:val="000000"/>
          <w:lang w:val="en-CA"/>
        </w:rPr>
        <w:t>.</w:t>
      </w:r>
    </w:p>
    <w:p w14:paraId="1E8E5927" w14:textId="77777777" w:rsidR="007A43B0" w:rsidRDefault="007A43B0" w:rsidP="008A1B91">
      <w:pPr>
        <w:spacing w:line="480" w:lineRule="auto"/>
        <w:rPr>
          <w:rFonts w:eastAsia="Times New Roman" w:cstheme="minorHAnsi"/>
          <w:color w:val="000000"/>
          <w:lang w:val="en-CA"/>
        </w:rPr>
      </w:pPr>
    </w:p>
    <w:p w14:paraId="55FEE9B6" w14:textId="77777777" w:rsidR="007A43B0" w:rsidRDefault="007A43B0" w:rsidP="008A1B91">
      <w:pPr>
        <w:spacing w:line="480" w:lineRule="auto"/>
        <w:rPr>
          <w:rFonts w:eastAsia="Times New Roman" w:cstheme="minorHAnsi"/>
          <w:color w:val="000000"/>
          <w:lang w:val="en-CA"/>
        </w:rPr>
      </w:pPr>
      <w:r>
        <w:rPr>
          <w:rFonts w:eastAsia="Times New Roman" w:cstheme="minorHAnsi"/>
          <w:color w:val="000000"/>
          <w:lang w:val="en-CA"/>
        </w:rPr>
        <w:tab/>
        <w:t xml:space="preserve">The salmon sampling begins with recording weather and sea state data, followed by </w:t>
      </w:r>
      <w:r w:rsidRPr="003C4653">
        <w:rPr>
          <w:rFonts w:eastAsia="Times New Roman" w:cstheme="minorHAnsi"/>
          <w:color w:val="000000"/>
          <w:lang w:val="en-CA"/>
        </w:rPr>
        <w:t>a visual survey of salmon surface activity</w:t>
      </w:r>
      <w:r>
        <w:rPr>
          <w:rFonts w:eastAsia="Times New Roman" w:cstheme="minorHAnsi"/>
          <w:color w:val="000000"/>
          <w:lang w:val="en-CA"/>
        </w:rPr>
        <w:t>.</w:t>
      </w:r>
      <w:r w:rsidRPr="003C4653">
        <w:rPr>
          <w:rFonts w:eastAsia="Times New Roman" w:cstheme="minorHAnsi"/>
          <w:color w:val="000000"/>
          <w:lang w:val="en-CA"/>
        </w:rPr>
        <w:t xml:space="preserve"> </w:t>
      </w:r>
      <w:r>
        <w:rPr>
          <w:rFonts w:eastAsia="Times New Roman" w:cstheme="minorHAnsi"/>
          <w:color w:val="000000"/>
          <w:lang w:val="en-CA"/>
        </w:rPr>
        <w:t>Afterwards, t</w:t>
      </w:r>
      <w:r w:rsidRPr="003C4653">
        <w:rPr>
          <w:rFonts w:eastAsia="Times New Roman" w:cstheme="minorHAnsi"/>
          <w:color w:val="000000"/>
          <w:lang w:val="en-CA"/>
        </w:rPr>
        <w:t>he purse seine net</w:t>
      </w:r>
      <w:r>
        <w:rPr>
          <w:rFonts w:eastAsia="Times New Roman" w:cstheme="minorHAnsi"/>
          <w:color w:val="000000"/>
          <w:lang w:val="en-CA"/>
        </w:rPr>
        <w:t xml:space="preserve"> </w:t>
      </w:r>
      <w:r w:rsidRPr="005D22F3">
        <w:rPr>
          <w:rFonts w:eastAsia="Times New Roman" w:cstheme="minorHAnsi"/>
          <w:color w:val="000000"/>
          <w:lang w:val="en-CA"/>
        </w:rPr>
        <w:t>(bunt: 27 m × 9 m with 13 mm mesh; tow: 46 m × 9 m with 76 mm mesh</w:t>
      </w:r>
      <w:r>
        <w:rPr>
          <w:rFonts w:eastAsia="Times New Roman" w:cstheme="minorHAnsi"/>
          <w:color w:val="000000"/>
          <w:lang w:val="en-CA"/>
        </w:rPr>
        <w:t xml:space="preserve">) </w:t>
      </w:r>
      <w:r w:rsidRPr="003C4653">
        <w:rPr>
          <w:rFonts w:eastAsia="Times New Roman" w:cstheme="minorHAnsi"/>
          <w:color w:val="000000"/>
          <w:lang w:val="en-CA"/>
        </w:rPr>
        <w:t xml:space="preserve">on a targeted school of fish, up to </w:t>
      </w:r>
      <w:r>
        <w:rPr>
          <w:rFonts w:eastAsia="Times New Roman" w:cstheme="minorHAnsi"/>
          <w:color w:val="000000"/>
          <w:lang w:val="en-CA"/>
        </w:rPr>
        <w:t>30</w:t>
      </w:r>
      <w:r w:rsidRPr="003C4653">
        <w:rPr>
          <w:rFonts w:eastAsia="Times New Roman" w:cstheme="minorHAnsi"/>
          <w:color w:val="000000"/>
          <w:lang w:val="en-CA"/>
        </w:rPr>
        <w:t xml:space="preserve"> sockeye, 10 pink and 10 chum salmon are </w:t>
      </w:r>
      <w:r>
        <w:rPr>
          <w:rFonts w:eastAsia="Times New Roman" w:cstheme="minorHAnsi"/>
          <w:color w:val="000000"/>
          <w:lang w:val="en-CA"/>
        </w:rPr>
        <w:t xml:space="preserve">retained, the remaining salmon counted and released </w:t>
      </w:r>
      <w:r>
        <w:rPr>
          <w:rStyle w:val="FootnoteReference"/>
          <w:rFonts w:eastAsia="Times New Roman" w:cstheme="minorHAnsi"/>
          <w:color w:val="000000"/>
          <w:lang w:val="en-CA"/>
        </w:rPr>
        <w:fldChar w:fldCharType="begin" w:fldLock="1"/>
      </w:r>
      <w:r>
        <w:rPr>
          <w:rFonts w:eastAsia="Times New Roman" w:cstheme="minorHAnsi"/>
          <w:color w:val="000000"/>
          <w:lang w:val="en-CA"/>
        </w:rPr>
        <w:instrText>ADDIN CSL_CITATION {"citationItems":[{"id":"ITEM-1","itemData":{"author":[{"dropping-particle":"","family":"Hunt","given":"Brian P.V.","non-dropping-particle":"","parse-names":false,"suffix":""},{"dropping-particle":"","family":"Johnson","given":"Brett T.","non-dropping-particle":"","parse-names":false,"suffix":""},{"dropping-particle":"","family":"Godwin","given":"Sean C.","non-dropping-particle":"","parse-names":false,"suffix":""},{"dropping-particle":"","family":"Krkošek","given":"Martin","non-dropping-particle":"","parse-names":false,"suffix":""},{"dropping-particle":"","family":"Pakhomov","given":"Evgeny A","non-dropping-particle":"","parse-names":false,"suffix":""},{"dropping-particle":"","family":"Rogers","given":"Luke A","non-dropping-particle":"","parse-names":false,"suffix":""}],"container-title":"North Pacific Anadromous Fish Commission","id":"ITEM-1","issued":{"date-parts":[["2018"]]},"page":"14","title":"The Hakai Institute Juvenile Salmon Program : Early Life History Drivers of Marine Survival in Sockeye , Pink and Chum Salmon in British Columbia","type":"article-journal"},"uris":["http://www.mendeley.com/documents/?uuid=99abb717-e86e-49be-9c20-927bcba727af"]}],"mendeley":{"formattedCitation":"(Hunt et al., 2018)","plainTextFormattedCitation":"(Hunt et al., 2018)","previouslyFormattedCitation":"(Hunt et al., 2018)"},"properties":{"noteIndex":0},"schema":"https://github.com/citation-style-language/schema/raw/master/csl-citation.json"}</w:instrText>
      </w:r>
      <w:r>
        <w:rPr>
          <w:rStyle w:val="FootnoteReference"/>
          <w:rFonts w:eastAsia="Times New Roman" w:cstheme="minorHAnsi"/>
          <w:color w:val="000000"/>
          <w:lang w:val="en-CA"/>
        </w:rPr>
        <w:fldChar w:fldCharType="separate"/>
      </w:r>
      <w:r w:rsidRPr="00DB41F8">
        <w:rPr>
          <w:rFonts w:eastAsia="Times New Roman" w:cstheme="minorHAnsi"/>
          <w:bCs/>
          <w:noProof/>
          <w:color w:val="000000"/>
        </w:rPr>
        <w:t>(Hunt et al., 2018)</w:t>
      </w:r>
      <w:r>
        <w:rPr>
          <w:rStyle w:val="FootnoteReference"/>
          <w:rFonts w:eastAsia="Times New Roman" w:cstheme="minorHAnsi"/>
          <w:color w:val="000000"/>
          <w:lang w:val="en-CA"/>
        </w:rPr>
        <w:fldChar w:fldCharType="end"/>
      </w:r>
      <w:r w:rsidRPr="003C4653">
        <w:rPr>
          <w:rFonts w:eastAsia="Times New Roman" w:cstheme="minorHAnsi"/>
          <w:color w:val="000000"/>
          <w:lang w:val="en-CA"/>
        </w:rPr>
        <w:t>.</w:t>
      </w:r>
      <w:r>
        <w:rPr>
          <w:rFonts w:eastAsia="Times New Roman" w:cstheme="minorHAnsi"/>
          <w:color w:val="000000"/>
          <w:lang w:val="en-CA"/>
        </w:rPr>
        <w:t xml:space="preserve"> Salmon were euthanized with tricaine methane sulfonate (MS-222) upon removal from the seine net, lengths and weights recorded, and preserved at -196 </w:t>
      </w:r>
      <w:r w:rsidRPr="004C2951">
        <w:rPr>
          <w:rFonts w:eastAsia="Times New Roman" w:cstheme="minorHAnsi"/>
          <w:color w:val="000000"/>
          <w:vertAlign w:val="superscript"/>
          <w:lang w:val="en-CA"/>
        </w:rPr>
        <w:t>o</w:t>
      </w:r>
      <w:r>
        <w:rPr>
          <w:rFonts w:eastAsia="Times New Roman" w:cstheme="minorHAnsi"/>
          <w:color w:val="000000"/>
          <w:lang w:val="en-CA"/>
        </w:rPr>
        <w:t xml:space="preserve">C with liquid nitrogen in a dry shipper until the salmon samples were stored in the -80 </w:t>
      </w:r>
      <w:r w:rsidRPr="004C2951">
        <w:rPr>
          <w:rFonts w:eastAsia="Times New Roman" w:cstheme="minorHAnsi"/>
          <w:color w:val="000000"/>
          <w:vertAlign w:val="superscript"/>
          <w:lang w:val="en-CA"/>
        </w:rPr>
        <w:t>o</w:t>
      </w:r>
      <w:r>
        <w:rPr>
          <w:rFonts w:eastAsia="Times New Roman" w:cstheme="minorHAnsi"/>
          <w:color w:val="000000"/>
          <w:lang w:val="en-CA"/>
        </w:rPr>
        <w:t xml:space="preserve">C freezer at the lab. </w:t>
      </w:r>
    </w:p>
    <w:p w14:paraId="2F58BBF7" w14:textId="77777777" w:rsidR="007A43B0" w:rsidRDefault="007A43B0" w:rsidP="008A1B91">
      <w:pPr>
        <w:spacing w:line="480" w:lineRule="auto"/>
        <w:rPr>
          <w:rFonts w:eastAsia="Times New Roman" w:cstheme="minorHAnsi"/>
          <w:color w:val="000000"/>
          <w:lang w:val="en-CA"/>
        </w:rPr>
      </w:pPr>
    </w:p>
    <w:p w14:paraId="7A2FCC31" w14:textId="77777777" w:rsidR="007A43B0" w:rsidRPr="004C2951" w:rsidRDefault="007A43B0" w:rsidP="008A1B91">
      <w:pPr>
        <w:spacing w:line="480" w:lineRule="auto"/>
        <w:rPr>
          <w:rFonts w:ascii="Times New Roman" w:eastAsia="Times New Roman" w:hAnsi="Times New Roman" w:cs="Times New Roman"/>
          <w:lang w:val="en-CA"/>
        </w:rPr>
      </w:pPr>
      <w:r>
        <w:rPr>
          <w:rFonts w:eastAsia="Times New Roman" w:cstheme="minorHAnsi"/>
          <w:color w:val="000000"/>
          <w:lang w:val="en-CA"/>
        </w:rPr>
        <w:tab/>
        <w:t xml:space="preserve">In addition to salmon sampling, zooplankton samples and oceanographic data were also collected during each survey. The YSI measured temperature and salinity at the surface and 1-meter depth, recorded while salmon were held for processing in the net. The zooplankton were collected after salmon and oceanographic sampling with a 50 cm diameter and 250 </w:t>
      </w:r>
      <w:r w:rsidRPr="004C2951">
        <w:rPr>
          <w:rFonts w:eastAsia="Times New Roman" w:cstheme="minorHAnsi"/>
          <w:color w:val="202122"/>
          <w:shd w:val="clear" w:color="auto" w:fill="F9F9F9"/>
          <w:lang w:val="en-CA"/>
        </w:rPr>
        <w:t>μ</w:t>
      </w:r>
      <w:r>
        <w:rPr>
          <w:rFonts w:eastAsia="Times New Roman" w:cstheme="minorHAnsi"/>
          <w:color w:val="000000"/>
          <w:lang w:val="en-CA"/>
        </w:rPr>
        <w:t xml:space="preserve">m mesh net, towed horizontally at the surface and preserved in 4% formaldehyde for future analysis. </w:t>
      </w:r>
    </w:p>
    <w:p w14:paraId="16B96F5C" w14:textId="77777777" w:rsidR="007A43B0" w:rsidRPr="003C4653" w:rsidRDefault="007A43B0" w:rsidP="008A1B91">
      <w:pPr>
        <w:spacing w:line="480" w:lineRule="auto"/>
        <w:rPr>
          <w:rFonts w:eastAsia="Times New Roman" w:cstheme="minorHAnsi"/>
          <w:lang w:val="en-CA"/>
        </w:rPr>
      </w:pPr>
    </w:p>
    <w:p w14:paraId="62F1E420" w14:textId="77777777" w:rsidR="007A43B0" w:rsidRDefault="007A43B0" w:rsidP="008A1B91">
      <w:pPr>
        <w:spacing w:line="480" w:lineRule="auto"/>
        <w:rPr>
          <w:rFonts w:eastAsia="Times New Roman" w:cstheme="minorHAnsi"/>
          <w:color w:val="000000"/>
          <w:lang w:val="en-CA"/>
        </w:rPr>
      </w:pPr>
      <w:r w:rsidRPr="003C4653">
        <w:rPr>
          <w:rFonts w:eastAsia="Times New Roman" w:cstheme="minorHAnsi"/>
          <w:color w:val="000000"/>
          <w:lang w:val="en-CA"/>
        </w:rPr>
        <w:tab/>
      </w:r>
      <w:r>
        <w:rPr>
          <w:rFonts w:eastAsia="Times New Roman" w:cstheme="minorHAnsi"/>
          <w:color w:val="000000"/>
          <w:lang w:val="en-CA"/>
        </w:rPr>
        <w:t xml:space="preserve">In </w:t>
      </w:r>
      <w:r w:rsidRPr="003C4653">
        <w:rPr>
          <w:rFonts w:eastAsia="Times New Roman" w:cstheme="minorHAnsi"/>
          <w:color w:val="000000"/>
          <w:lang w:val="en-CA"/>
        </w:rPr>
        <w:t xml:space="preserve">the lab, juvenile salmon </w:t>
      </w:r>
      <w:r>
        <w:rPr>
          <w:rFonts w:eastAsia="Times New Roman" w:cstheme="minorHAnsi"/>
          <w:color w:val="000000"/>
          <w:lang w:val="en-CA"/>
        </w:rPr>
        <w:t xml:space="preserve">were dissected, and the </w:t>
      </w:r>
      <w:r w:rsidRPr="003C4653">
        <w:rPr>
          <w:rFonts w:eastAsia="Times New Roman" w:cstheme="minorHAnsi"/>
          <w:color w:val="000000"/>
          <w:lang w:val="en-CA"/>
        </w:rPr>
        <w:t xml:space="preserve">stomachs preserved in 95% ethanol. </w:t>
      </w:r>
      <w:r>
        <w:rPr>
          <w:rFonts w:eastAsia="Times New Roman" w:cstheme="minorHAnsi"/>
          <w:color w:val="000000"/>
          <w:lang w:val="en-CA"/>
        </w:rPr>
        <w:t xml:space="preserve"> Prior to analysis, </w:t>
      </w:r>
      <w:r w:rsidRPr="003C4653">
        <w:rPr>
          <w:rFonts w:eastAsia="Times New Roman" w:cstheme="minorHAnsi"/>
          <w:color w:val="000000"/>
          <w:lang w:val="en-CA"/>
        </w:rPr>
        <w:t xml:space="preserve">salmon stomachs </w:t>
      </w:r>
      <w:r>
        <w:rPr>
          <w:rFonts w:eastAsia="Times New Roman" w:cstheme="minorHAnsi"/>
          <w:color w:val="000000"/>
          <w:lang w:val="en-CA"/>
        </w:rPr>
        <w:t xml:space="preserve">were </w:t>
      </w:r>
      <w:r w:rsidRPr="003C4653">
        <w:rPr>
          <w:rFonts w:eastAsia="Times New Roman" w:cstheme="minorHAnsi"/>
          <w:color w:val="000000"/>
          <w:lang w:val="en-CA"/>
        </w:rPr>
        <w:t>remov</w:t>
      </w:r>
      <w:r>
        <w:rPr>
          <w:rFonts w:eastAsia="Times New Roman" w:cstheme="minorHAnsi"/>
          <w:color w:val="000000"/>
          <w:lang w:val="en-CA"/>
        </w:rPr>
        <w:t xml:space="preserve">ed from </w:t>
      </w:r>
      <w:r w:rsidRPr="003C4653">
        <w:rPr>
          <w:rFonts w:eastAsia="Times New Roman" w:cstheme="minorHAnsi"/>
          <w:color w:val="000000"/>
          <w:lang w:val="en-CA"/>
        </w:rPr>
        <w:t>ethanol and soak</w:t>
      </w:r>
      <w:r>
        <w:rPr>
          <w:rFonts w:eastAsia="Times New Roman" w:cstheme="minorHAnsi"/>
          <w:color w:val="000000"/>
          <w:lang w:val="en-CA"/>
        </w:rPr>
        <w:t>ed</w:t>
      </w:r>
      <w:r w:rsidRPr="003C4653">
        <w:rPr>
          <w:rFonts w:eastAsia="Times New Roman" w:cstheme="minorHAnsi"/>
          <w:color w:val="000000"/>
          <w:lang w:val="en-CA"/>
        </w:rPr>
        <w:t xml:space="preserve"> </w:t>
      </w:r>
      <w:r>
        <w:rPr>
          <w:rFonts w:eastAsia="Times New Roman" w:cstheme="minorHAnsi"/>
          <w:color w:val="000000"/>
          <w:lang w:val="en-CA"/>
        </w:rPr>
        <w:t xml:space="preserve">unopened </w:t>
      </w:r>
      <w:r w:rsidRPr="003C4653">
        <w:rPr>
          <w:rFonts w:eastAsia="Times New Roman" w:cstheme="minorHAnsi"/>
          <w:color w:val="000000"/>
          <w:lang w:val="en-CA"/>
        </w:rPr>
        <w:t xml:space="preserve">for 30 minutes in </w:t>
      </w:r>
      <w:r>
        <w:rPr>
          <w:rFonts w:eastAsia="Times New Roman" w:cstheme="minorHAnsi"/>
          <w:color w:val="000000"/>
          <w:lang w:val="en-CA"/>
        </w:rPr>
        <w:t xml:space="preserve">tap </w:t>
      </w:r>
      <w:r w:rsidRPr="003C4653">
        <w:rPr>
          <w:rFonts w:eastAsia="Times New Roman" w:cstheme="minorHAnsi"/>
          <w:color w:val="000000"/>
          <w:lang w:val="en-CA"/>
        </w:rPr>
        <w:t xml:space="preserve">water to reduce </w:t>
      </w:r>
      <w:r>
        <w:rPr>
          <w:rFonts w:eastAsia="Times New Roman" w:cstheme="minorHAnsi"/>
          <w:color w:val="000000"/>
          <w:lang w:val="en-CA"/>
        </w:rPr>
        <w:t xml:space="preserve">the </w:t>
      </w:r>
      <w:r w:rsidRPr="003C4653">
        <w:rPr>
          <w:rFonts w:eastAsia="Times New Roman" w:cstheme="minorHAnsi"/>
          <w:color w:val="000000"/>
          <w:lang w:val="en-CA"/>
        </w:rPr>
        <w:t xml:space="preserve">brittleness of </w:t>
      </w:r>
      <w:r>
        <w:rPr>
          <w:rFonts w:eastAsia="Times New Roman" w:cstheme="minorHAnsi"/>
          <w:color w:val="000000"/>
          <w:lang w:val="en-CA"/>
        </w:rPr>
        <w:t xml:space="preserve">the </w:t>
      </w:r>
      <w:r w:rsidRPr="003C4653">
        <w:rPr>
          <w:rFonts w:eastAsia="Times New Roman" w:cstheme="minorHAnsi"/>
          <w:color w:val="000000"/>
          <w:lang w:val="en-CA"/>
        </w:rPr>
        <w:t>sample</w:t>
      </w:r>
      <w:r>
        <w:rPr>
          <w:rFonts w:eastAsia="Times New Roman" w:cstheme="minorHAnsi"/>
          <w:color w:val="000000"/>
          <w:lang w:val="en-CA"/>
        </w:rPr>
        <w:t xml:space="preserve">. The stomach was then </w:t>
      </w:r>
      <w:r w:rsidRPr="003C4653">
        <w:rPr>
          <w:rFonts w:eastAsia="Times New Roman" w:cstheme="minorHAnsi"/>
          <w:color w:val="000000"/>
          <w:lang w:val="en-CA"/>
        </w:rPr>
        <w:t>dissect</w:t>
      </w:r>
      <w:r>
        <w:rPr>
          <w:rFonts w:eastAsia="Times New Roman" w:cstheme="minorHAnsi"/>
          <w:color w:val="000000"/>
          <w:lang w:val="en-CA"/>
        </w:rPr>
        <w:t xml:space="preserve">ed </w:t>
      </w:r>
      <w:r w:rsidRPr="003C4653">
        <w:rPr>
          <w:rFonts w:eastAsia="Times New Roman" w:cstheme="minorHAnsi"/>
          <w:color w:val="000000"/>
          <w:lang w:val="en-CA"/>
        </w:rPr>
        <w:t>open</w:t>
      </w:r>
      <w:r>
        <w:rPr>
          <w:rFonts w:eastAsia="Times New Roman" w:cstheme="minorHAnsi"/>
          <w:color w:val="000000"/>
          <w:lang w:val="en-CA"/>
        </w:rPr>
        <w:t xml:space="preserve"> and </w:t>
      </w:r>
      <w:r w:rsidRPr="003C4653">
        <w:rPr>
          <w:rFonts w:eastAsia="Times New Roman" w:cstheme="minorHAnsi"/>
          <w:color w:val="000000"/>
          <w:lang w:val="en-CA"/>
        </w:rPr>
        <w:t>the food contents removed</w:t>
      </w:r>
      <w:r>
        <w:rPr>
          <w:rFonts w:eastAsia="Times New Roman" w:cstheme="minorHAnsi"/>
          <w:color w:val="000000"/>
          <w:lang w:val="en-CA"/>
        </w:rPr>
        <w:t>. T</w:t>
      </w:r>
      <w:r w:rsidRPr="003C4653">
        <w:rPr>
          <w:rFonts w:eastAsia="Times New Roman" w:cstheme="minorHAnsi"/>
          <w:color w:val="000000"/>
          <w:lang w:val="en-CA"/>
        </w:rPr>
        <w:t xml:space="preserve">he entire </w:t>
      </w:r>
      <w:r>
        <w:rPr>
          <w:rFonts w:eastAsia="Times New Roman" w:cstheme="minorHAnsi"/>
          <w:color w:val="000000"/>
          <w:lang w:val="en-CA"/>
        </w:rPr>
        <w:t xml:space="preserve">food </w:t>
      </w:r>
      <w:r w:rsidRPr="003C4653">
        <w:rPr>
          <w:rFonts w:eastAsia="Times New Roman" w:cstheme="minorHAnsi"/>
          <w:color w:val="000000"/>
          <w:lang w:val="en-CA"/>
        </w:rPr>
        <w:t>bolus was weighed</w:t>
      </w:r>
      <w:r>
        <w:rPr>
          <w:rFonts w:eastAsia="Times New Roman" w:cstheme="minorHAnsi"/>
          <w:color w:val="000000"/>
          <w:lang w:val="en-CA"/>
        </w:rPr>
        <w:t xml:space="preserve"> on an analytical balance and wet weight recorded to the nearest 0.1 mg. The bolus was then </w:t>
      </w:r>
      <w:r w:rsidRPr="003C4653">
        <w:rPr>
          <w:rFonts w:eastAsia="Times New Roman" w:cstheme="minorHAnsi"/>
          <w:color w:val="000000"/>
          <w:lang w:val="en-CA"/>
        </w:rPr>
        <w:t xml:space="preserve">placed on a petri dish with water added, </w:t>
      </w:r>
      <w:r>
        <w:rPr>
          <w:rFonts w:eastAsia="Times New Roman" w:cstheme="minorHAnsi"/>
          <w:color w:val="000000"/>
          <w:lang w:val="en-CA"/>
        </w:rPr>
        <w:t xml:space="preserve">and prey </w:t>
      </w:r>
      <w:r w:rsidRPr="003C4653">
        <w:rPr>
          <w:rFonts w:eastAsia="Times New Roman" w:cstheme="minorHAnsi"/>
          <w:color w:val="000000"/>
          <w:lang w:val="en-CA"/>
        </w:rPr>
        <w:t>rearrange</w:t>
      </w:r>
      <w:r>
        <w:rPr>
          <w:rFonts w:eastAsia="Times New Roman" w:cstheme="minorHAnsi"/>
          <w:color w:val="000000"/>
          <w:lang w:val="en-CA"/>
        </w:rPr>
        <w:t>d</w:t>
      </w:r>
      <w:r w:rsidRPr="003C4653">
        <w:rPr>
          <w:rFonts w:eastAsia="Times New Roman" w:cstheme="minorHAnsi"/>
          <w:color w:val="000000"/>
          <w:lang w:val="en-CA"/>
        </w:rPr>
        <w:t xml:space="preserve"> by species, size, life stage and digestive state.</w:t>
      </w:r>
      <w:r>
        <w:rPr>
          <w:rFonts w:eastAsia="Times New Roman" w:cstheme="minorHAnsi"/>
          <w:color w:val="000000"/>
          <w:lang w:val="en-CA"/>
        </w:rPr>
        <w:t xml:space="preserve"> Digestive states were defined as 1) fresh prey, intact, 2) semi-fresh prey, with lost appendages or color, 3) semi-digested prey, identified to group, and 4) fully digested, and unidentified prey.</w:t>
      </w:r>
      <w:r w:rsidRPr="003C4653">
        <w:rPr>
          <w:rFonts w:eastAsia="Times New Roman" w:cstheme="minorHAnsi"/>
          <w:color w:val="000000"/>
          <w:lang w:val="en-CA"/>
        </w:rPr>
        <w:t xml:space="preserve"> </w:t>
      </w:r>
      <w:r>
        <w:rPr>
          <w:rFonts w:eastAsia="Times New Roman" w:cstheme="minorHAnsi"/>
          <w:color w:val="000000"/>
          <w:lang w:val="en-CA"/>
        </w:rPr>
        <w:t xml:space="preserve">If prey could not be identified to species, it was identified to the most detailed taxonomic group possible, e.g. Ctenophora and Cnidaria jellyfish, collectively grouped as “gelatinous” hereafter. </w:t>
      </w:r>
      <w:r w:rsidRPr="003C4653">
        <w:rPr>
          <w:rFonts w:eastAsia="Times New Roman" w:cstheme="minorHAnsi"/>
          <w:color w:val="000000"/>
          <w:lang w:val="en-CA"/>
        </w:rPr>
        <w:t xml:space="preserve">For each prey group, minimum and maximum lengths were measured with an ocular micrometer, individuals were counted, and the group </w:t>
      </w:r>
      <w:r>
        <w:rPr>
          <w:rFonts w:eastAsia="Times New Roman" w:cstheme="minorHAnsi"/>
          <w:color w:val="000000"/>
          <w:lang w:val="en-CA"/>
        </w:rPr>
        <w:t xml:space="preserve">wet weight recorded to nearest 0.1 mg. </w:t>
      </w:r>
    </w:p>
    <w:p w14:paraId="74C9994E" w14:textId="77777777" w:rsidR="007A43B0" w:rsidRDefault="007A43B0" w:rsidP="008A1B91">
      <w:pPr>
        <w:spacing w:line="480" w:lineRule="auto"/>
        <w:rPr>
          <w:rFonts w:eastAsia="Times New Roman" w:cstheme="minorHAnsi"/>
          <w:color w:val="000000"/>
          <w:lang w:val="en-CA"/>
        </w:rPr>
      </w:pPr>
      <w:r>
        <w:rPr>
          <w:rFonts w:eastAsia="Times New Roman" w:cstheme="minorHAnsi"/>
          <w:color w:val="000000"/>
          <w:lang w:val="en-CA"/>
        </w:rPr>
        <w:t xml:space="preserve">If a stomach sample had over 1,000 prey of similar size, a subsample would be processed, first any rare or large prey were removed, data recorded and then ¼ of remaining prey processed. For example, counting and measuring a couple of decapods and amphipods before subsampling hundreds of </w:t>
      </w:r>
      <w:r w:rsidRPr="004C2951">
        <w:rPr>
          <w:rFonts w:eastAsia="Times New Roman" w:cstheme="minorHAnsi"/>
          <w:i/>
          <w:iCs/>
          <w:color w:val="000000"/>
          <w:lang w:val="en-CA"/>
        </w:rPr>
        <w:t>Oikopleura</w:t>
      </w:r>
      <w:r>
        <w:rPr>
          <w:rFonts w:eastAsia="Times New Roman" w:cstheme="minorHAnsi"/>
          <w:color w:val="000000"/>
          <w:lang w:val="en-CA"/>
        </w:rPr>
        <w:t xml:space="preserve"> and cladocerans, multiplying the data by 4 to estimate the sample data.</w:t>
      </w:r>
    </w:p>
    <w:p w14:paraId="750B44F0" w14:textId="77777777" w:rsidR="007A43B0" w:rsidRDefault="007A43B0" w:rsidP="008A1B91">
      <w:pPr>
        <w:spacing w:line="480" w:lineRule="auto"/>
        <w:rPr>
          <w:rFonts w:eastAsia="Times New Roman" w:cstheme="minorHAnsi"/>
          <w:color w:val="000000"/>
          <w:lang w:val="en-CA"/>
        </w:rPr>
      </w:pPr>
    </w:p>
    <w:p w14:paraId="4C6091EA" w14:textId="77777777" w:rsidR="007A43B0" w:rsidRDefault="007A43B0" w:rsidP="008A1B91">
      <w:pPr>
        <w:spacing w:line="480" w:lineRule="auto"/>
        <w:rPr>
          <w:rFonts w:eastAsia="Times New Roman" w:cstheme="minorHAnsi"/>
          <w:color w:val="000000"/>
          <w:lang w:val="en-CA"/>
        </w:rPr>
      </w:pPr>
      <w:r>
        <w:rPr>
          <w:rFonts w:eastAsia="Times New Roman" w:cstheme="minorHAnsi"/>
          <w:color w:val="000000"/>
          <w:lang w:val="en-CA"/>
        </w:rPr>
        <w:tab/>
        <w:t xml:space="preserve">The zooplankton samples were poured over sieves into 250 </w:t>
      </w:r>
      <w:r w:rsidRPr="00E156ED">
        <w:rPr>
          <w:rFonts w:eastAsia="Times New Roman" w:cstheme="minorHAnsi"/>
          <w:color w:val="202122"/>
          <w:shd w:val="clear" w:color="auto" w:fill="F9F9F9"/>
          <w:lang w:val="en-CA"/>
        </w:rPr>
        <w:t>μ</w:t>
      </w:r>
      <w:r>
        <w:rPr>
          <w:rFonts w:eastAsia="Times New Roman" w:cstheme="minorHAnsi"/>
          <w:color w:val="000000"/>
          <w:lang w:val="en-CA"/>
        </w:rPr>
        <w:t xml:space="preserve">m, 1000 </w:t>
      </w:r>
      <w:r w:rsidRPr="00E156ED">
        <w:rPr>
          <w:rFonts w:eastAsia="Times New Roman" w:cstheme="minorHAnsi"/>
          <w:color w:val="202122"/>
          <w:shd w:val="clear" w:color="auto" w:fill="F9F9F9"/>
          <w:lang w:val="en-CA"/>
        </w:rPr>
        <w:t>μ</w:t>
      </w:r>
      <w:r>
        <w:rPr>
          <w:rFonts w:eastAsia="Times New Roman" w:cstheme="minorHAnsi"/>
          <w:color w:val="000000"/>
          <w:lang w:val="en-CA"/>
        </w:rPr>
        <w:t xml:space="preserve">m and 2000 </w:t>
      </w:r>
      <w:r w:rsidRPr="00E156ED">
        <w:rPr>
          <w:rFonts w:eastAsia="Times New Roman" w:cstheme="minorHAnsi"/>
          <w:color w:val="202122"/>
          <w:shd w:val="clear" w:color="auto" w:fill="F9F9F9"/>
          <w:lang w:val="en-CA"/>
        </w:rPr>
        <w:t>μ</w:t>
      </w:r>
      <w:r>
        <w:rPr>
          <w:rFonts w:eastAsia="Times New Roman" w:cstheme="minorHAnsi"/>
          <w:color w:val="000000"/>
          <w:lang w:val="en-CA"/>
        </w:rPr>
        <w:t xml:space="preserve">m size fractions before being weighed and analyzed. Wet weights were measured to the nearest 0.1 mg on an analytical balance, with non-gelatinous and gelatinous groups weighed separately. Each size fraction of zooplankton was identified to species and life stage, enumerated and measured with an ocular micrometer, and subsampled if necessary, using a </w:t>
      </w:r>
      <w:proofErr w:type="spellStart"/>
      <w:r>
        <w:rPr>
          <w:rFonts w:eastAsia="Times New Roman" w:cstheme="minorHAnsi"/>
          <w:color w:val="000000"/>
          <w:lang w:val="en-CA"/>
        </w:rPr>
        <w:t>Motodo</w:t>
      </w:r>
      <w:proofErr w:type="spellEnd"/>
      <w:r>
        <w:rPr>
          <w:rFonts w:eastAsia="Times New Roman" w:cstheme="minorHAnsi"/>
          <w:color w:val="000000"/>
          <w:lang w:val="en-CA"/>
        </w:rPr>
        <w:t xml:space="preserve"> splitter. </w:t>
      </w:r>
    </w:p>
    <w:p w14:paraId="2FCA990C" w14:textId="77777777" w:rsidR="007A43B0" w:rsidRPr="003C4653" w:rsidRDefault="007A43B0" w:rsidP="008A1B91">
      <w:pPr>
        <w:spacing w:line="480" w:lineRule="auto"/>
        <w:rPr>
          <w:rFonts w:eastAsia="Times New Roman" w:cstheme="minorHAnsi"/>
          <w:lang w:val="en-CA"/>
        </w:rPr>
      </w:pPr>
    </w:p>
    <w:p w14:paraId="0A5E2F70" w14:textId="77777777" w:rsidR="007A43B0" w:rsidRPr="003C4653" w:rsidRDefault="007A43B0" w:rsidP="008A1B91">
      <w:pPr>
        <w:spacing w:line="480" w:lineRule="auto"/>
        <w:rPr>
          <w:rFonts w:eastAsia="Times New Roman" w:cstheme="minorHAnsi"/>
          <w:lang w:val="en-CA"/>
        </w:rPr>
      </w:pPr>
      <w:r w:rsidRPr="003C4653">
        <w:rPr>
          <w:rFonts w:eastAsia="Times New Roman" w:cstheme="minorHAnsi"/>
          <w:color w:val="000000"/>
          <w:lang w:val="en-CA"/>
        </w:rPr>
        <w:tab/>
      </w:r>
      <w:r>
        <w:rPr>
          <w:rFonts w:eastAsia="Times New Roman" w:cstheme="minorHAnsi"/>
          <w:color w:val="000000"/>
          <w:lang w:val="en-CA"/>
        </w:rPr>
        <w:t xml:space="preserve">The spatial variation in prey composition was analyzed using a multivariate approach. Prior to the </w:t>
      </w:r>
      <w:r w:rsidRPr="003C4653">
        <w:rPr>
          <w:rFonts w:eastAsia="Times New Roman" w:cstheme="minorHAnsi"/>
          <w:color w:val="000000"/>
          <w:lang w:val="en-CA"/>
        </w:rPr>
        <w:t>analysis</w:t>
      </w:r>
      <w:r>
        <w:rPr>
          <w:rFonts w:eastAsia="Times New Roman" w:cstheme="minorHAnsi"/>
          <w:color w:val="000000"/>
          <w:lang w:val="en-CA"/>
        </w:rPr>
        <w:t xml:space="preserve">, </w:t>
      </w:r>
      <w:r w:rsidRPr="003C4653">
        <w:rPr>
          <w:rFonts w:eastAsia="Times New Roman" w:cstheme="minorHAnsi"/>
          <w:color w:val="000000"/>
          <w:lang w:val="en-CA"/>
        </w:rPr>
        <w:t xml:space="preserve">rare taxonomic prey categories (occurs in less than three stomachs) into </w:t>
      </w:r>
      <w:r>
        <w:rPr>
          <w:rFonts w:eastAsia="Times New Roman" w:cstheme="minorHAnsi"/>
          <w:color w:val="000000"/>
          <w:lang w:val="en-CA"/>
        </w:rPr>
        <w:t xml:space="preserve">were combined into </w:t>
      </w:r>
      <w:r w:rsidRPr="003C4653">
        <w:rPr>
          <w:rFonts w:eastAsia="Times New Roman" w:cstheme="minorHAnsi"/>
          <w:color w:val="000000"/>
          <w:lang w:val="en-CA"/>
        </w:rPr>
        <w:t>higher level groupings</w:t>
      </w:r>
      <w:r>
        <w:rPr>
          <w:rFonts w:eastAsia="Times New Roman" w:cstheme="minorHAnsi"/>
          <w:color w:val="000000"/>
          <w:lang w:val="en-CA"/>
        </w:rPr>
        <w:t>,</w:t>
      </w:r>
      <w:r w:rsidRPr="003C4653">
        <w:rPr>
          <w:rFonts w:eastAsia="Times New Roman" w:cstheme="minorHAnsi"/>
          <w:color w:val="000000"/>
          <w:lang w:val="en-CA"/>
        </w:rPr>
        <w:t xml:space="preserve"> ignoring “digested food.” </w:t>
      </w:r>
      <w:r>
        <w:rPr>
          <w:rFonts w:eastAsia="Times New Roman" w:cstheme="minorHAnsi"/>
          <w:color w:val="000000"/>
          <w:lang w:val="en-CA"/>
        </w:rPr>
        <w:t xml:space="preserve">Fish stomach content wet weight was multiplied by 1.54 to correct weights for water loss after storage in ethanol </w:t>
      </w:r>
      <w:r>
        <w:rPr>
          <w:rStyle w:val="FootnoteReference"/>
          <w:rFonts w:eastAsia="Times New Roman" w:cstheme="minorHAnsi"/>
          <w:color w:val="000000"/>
          <w:lang w:val="en-CA"/>
        </w:rPr>
        <w:fldChar w:fldCharType="begin" w:fldLock="1"/>
      </w:r>
      <w:r>
        <w:rPr>
          <w:rFonts w:eastAsia="Times New Roman" w:cstheme="minorHAnsi"/>
          <w:color w:val="000000"/>
          <w:lang w:val="en-CA"/>
        </w:rPr>
        <w:instrText>ADDIN CSL_CITATION {"citationItems":[{"id":"ITEM-1","itemData":{"DOI":"10.1017/CBO9781107415324.004","ISBN":"9788578110796","ISSN":"1098-6596","PMID":"25246403","abstract":"Pacific salmon hold tremendous ecological, cultural, and economic value to communities and ecosystems throughout British Columbia. The productivity of several populations, however, has declined since the early 1990s. The cause of the decline is still not fully understood, though bottom-up drivers and trophic interactions during the early marine migration are believed to be contributing factors. For juveniles leaving the Fraser River, their migration crosses a range of stratified and well-mixed waters with varying levels of productivity. The purpose of this study is therefore to a) characterize the foraging ecology of juvenile sockeye salmon across the range of environmental conditions they encounter during the early marine migration, and b) test whether foraging success is lower in tidally mixed waters. In 2015 and 2016, environmental conditions, prey dynamics, and sockeye diets were sampled at high spatial and temporal resolution in the Discovery Islands and Johnstone Strait during the outmigration period. Analyses revealed two unique diet types, one dominated by meroplankton, cladocerans, and larvaceans in the warmer, fresher waters of the Discovery Islands and the other dominated by large calanoid copepods in the cooler, saltier waters of Johnstone Strait. In all diets, sockeye exhibited strong selection for prey items larger than 2 mm. Furthermore, foraging success was low throughout the tidally- mixed regions of the Discovery Islands and Johnstone Strait, providing strong support for the hypothesis that this region is a ‘trophic gauntlet’ for outmigrating salmon. Foraging hotspots were were also discovered along the interface between mixed and stratified waters. These frontal areas may in fact be important foraging grounds for juveniles to facilitate their migration through otherwise challenging conditions. This research addresses a critical knowledge gap in the foraging ecology of juvenile salmon across different environmental conditions during their early marine migration and can be used to improve our ability to monitor fish condition, growth, survival, and ultimately recruitment.","author":[{"dropping-particle":"","family":"James","given":"Samantha E","non-dropping-particle":"","parse-names":false,"suffix":""}],"id":"ITEM-1","issued":{"date-parts":[["2019"]]},"number-of-pages":"107","title":"Foraging Ecology of Juvenile Fraser River Sockeye Salmon Across Mixed and Stratified Regions of the Early Marine Migration","type":"thesis"},"uris":["http://www.mendeley.com/documents/?uuid=76c3c9bc-48a8-475a-bc0e-a1e66357c5ee"]}],"mendeley":{"formattedCitation":"(James, 2019)","plainTextFormattedCitation":"(James, 2019)","previouslyFormattedCitation":"(James, 2019)"},"properties":{"noteIndex":0},"schema":"https://github.com/citation-style-language/schema/raw/master/csl-citation.json"}</w:instrText>
      </w:r>
      <w:r>
        <w:rPr>
          <w:rStyle w:val="FootnoteReference"/>
          <w:rFonts w:eastAsia="Times New Roman" w:cstheme="minorHAnsi"/>
          <w:color w:val="000000"/>
          <w:lang w:val="en-CA"/>
        </w:rPr>
        <w:fldChar w:fldCharType="separate"/>
      </w:r>
      <w:r w:rsidRPr="00DB41F8">
        <w:rPr>
          <w:rFonts w:eastAsia="Times New Roman" w:cstheme="minorHAnsi"/>
          <w:noProof/>
          <w:color w:val="000000"/>
          <w:lang w:val="en-CA"/>
        </w:rPr>
        <w:t>(James, 2019)</w:t>
      </w:r>
      <w:r>
        <w:rPr>
          <w:rStyle w:val="FootnoteReference"/>
          <w:rFonts w:eastAsia="Times New Roman" w:cstheme="minorHAnsi"/>
          <w:color w:val="000000"/>
          <w:lang w:val="en-CA"/>
        </w:rPr>
        <w:fldChar w:fldCharType="end"/>
      </w:r>
      <w:r>
        <w:rPr>
          <w:rFonts w:eastAsia="Times New Roman" w:cstheme="minorHAnsi"/>
          <w:color w:val="000000"/>
          <w:lang w:val="en-CA"/>
        </w:rPr>
        <w:t>. R</w:t>
      </w:r>
      <w:r w:rsidRPr="003C4653">
        <w:rPr>
          <w:rFonts w:eastAsia="Times New Roman" w:cstheme="minorHAnsi"/>
          <w:color w:val="000000"/>
          <w:lang w:val="en-CA"/>
        </w:rPr>
        <w:t>elative prey biomass for each stomach was calculated and arcsine square root transformed</w:t>
      </w:r>
      <w:r>
        <w:rPr>
          <w:rFonts w:eastAsia="Times New Roman" w:cstheme="minorHAnsi"/>
          <w:color w:val="000000"/>
          <w:lang w:val="en-CA"/>
        </w:rPr>
        <w:t xml:space="preserve"> before calculating</w:t>
      </w:r>
      <w:r w:rsidRPr="003C4653">
        <w:rPr>
          <w:rFonts w:eastAsia="Times New Roman" w:cstheme="minorHAnsi"/>
          <w:color w:val="000000"/>
          <w:lang w:val="en-CA"/>
        </w:rPr>
        <w:t xml:space="preserve"> Bray-Curtis dissimilarity.</w:t>
      </w:r>
      <w:r>
        <w:rPr>
          <w:rFonts w:eastAsia="Times New Roman" w:cstheme="minorHAnsi"/>
          <w:color w:val="000000"/>
          <w:lang w:val="en-CA"/>
        </w:rPr>
        <w:t xml:space="preserve"> The dissimilarity matrix was used </w:t>
      </w:r>
      <w:r w:rsidRPr="003C4653">
        <w:rPr>
          <w:rFonts w:eastAsia="Times New Roman" w:cstheme="minorHAnsi"/>
          <w:color w:val="000000"/>
          <w:lang w:val="en-CA"/>
        </w:rPr>
        <w:t xml:space="preserve">for non-metric multidimensional scaling (NMDS) </w:t>
      </w:r>
      <w:r>
        <w:rPr>
          <w:rFonts w:eastAsia="Times New Roman" w:cstheme="minorHAnsi"/>
          <w:color w:val="000000"/>
          <w:lang w:val="en-CA"/>
        </w:rPr>
        <w:t xml:space="preserve">ordination </w:t>
      </w:r>
      <w:r w:rsidRPr="003C4653">
        <w:rPr>
          <w:rFonts w:eastAsia="Times New Roman" w:cstheme="minorHAnsi"/>
          <w:color w:val="000000"/>
          <w:lang w:val="en-CA"/>
        </w:rPr>
        <w:t>and agglomerative hierarchical cluster</w:t>
      </w:r>
      <w:r>
        <w:rPr>
          <w:rFonts w:eastAsia="Times New Roman" w:cstheme="minorHAnsi"/>
          <w:color w:val="000000"/>
          <w:lang w:val="en-CA"/>
        </w:rPr>
        <w:t>ing</w:t>
      </w:r>
      <w:r w:rsidRPr="003C4653">
        <w:rPr>
          <w:rFonts w:eastAsia="Times New Roman" w:cstheme="minorHAnsi"/>
          <w:color w:val="000000"/>
          <w:lang w:val="en-CA"/>
        </w:rPr>
        <w:t xml:space="preserve"> (AHC).</w:t>
      </w:r>
    </w:p>
    <w:p w14:paraId="5A4E9981" w14:textId="77777777" w:rsidR="007A43B0" w:rsidRPr="003C4653" w:rsidRDefault="007A43B0" w:rsidP="008A1B91">
      <w:pPr>
        <w:spacing w:line="480" w:lineRule="auto"/>
        <w:rPr>
          <w:rFonts w:eastAsia="Times New Roman" w:cstheme="minorHAnsi"/>
          <w:lang w:val="en-CA"/>
        </w:rPr>
      </w:pPr>
    </w:p>
    <w:p w14:paraId="1463BE16" w14:textId="77777777" w:rsidR="007A43B0" w:rsidRDefault="007A43B0" w:rsidP="008A1B91">
      <w:pPr>
        <w:spacing w:line="480" w:lineRule="auto"/>
        <w:rPr>
          <w:rFonts w:eastAsia="Times New Roman" w:cstheme="minorHAnsi"/>
          <w:color w:val="000000"/>
          <w:lang w:val="en-CA"/>
        </w:rPr>
      </w:pPr>
      <w:r w:rsidRPr="003C4653">
        <w:rPr>
          <w:rFonts w:eastAsia="Times New Roman" w:cstheme="minorHAnsi"/>
          <w:color w:val="000000"/>
          <w:lang w:val="en-CA"/>
        </w:rPr>
        <w:tab/>
        <w:t>In addition to the multivariate statistics, various indices were calculated from the raw data</w:t>
      </w:r>
      <w:r>
        <w:rPr>
          <w:rFonts w:eastAsia="Times New Roman" w:cstheme="minorHAnsi"/>
          <w:color w:val="000000"/>
          <w:lang w:val="en-CA"/>
        </w:rPr>
        <w:t>. F</w:t>
      </w:r>
      <w:r w:rsidRPr="003C4653">
        <w:rPr>
          <w:rFonts w:eastAsia="Times New Roman" w:cstheme="minorHAnsi"/>
          <w:color w:val="000000"/>
          <w:lang w:val="en-CA"/>
        </w:rPr>
        <w:t>requency of occurrence</w:t>
      </w:r>
      <w:r>
        <w:rPr>
          <w:rFonts w:eastAsia="Times New Roman" w:cstheme="minorHAnsi"/>
          <w:color w:val="000000"/>
          <w:lang w:val="en-CA"/>
        </w:rPr>
        <w:t xml:space="preserve"> (FO)</w:t>
      </w:r>
      <w:r w:rsidRPr="003C4653">
        <w:rPr>
          <w:rFonts w:eastAsia="Times New Roman" w:cstheme="minorHAnsi"/>
          <w:color w:val="000000"/>
          <w:lang w:val="en-CA"/>
        </w:rPr>
        <w:t xml:space="preserve"> of prey for each site and each species, </w:t>
      </w:r>
      <w:r>
        <w:rPr>
          <w:rFonts w:eastAsia="Times New Roman" w:cstheme="minorHAnsi"/>
          <w:color w:val="000000"/>
          <w:lang w:val="en-CA"/>
        </w:rPr>
        <w:t>was calculated as:</w:t>
      </w:r>
    </w:p>
    <w:p w14:paraId="51800BC3" w14:textId="77777777" w:rsidR="007A43B0" w:rsidRPr="003C4653" w:rsidRDefault="007A43B0" w:rsidP="008A1B91">
      <w:pPr>
        <w:spacing w:line="480" w:lineRule="auto"/>
        <w:jc w:val="center"/>
        <w:rPr>
          <w:rFonts w:eastAsia="Times New Roman" w:cstheme="minorHAnsi"/>
          <w:lang w:val="en-CA"/>
        </w:rPr>
      </w:pPr>
      <w:r>
        <w:rPr>
          <w:rFonts w:eastAsia="Times New Roman" w:cstheme="minorHAnsi"/>
          <w:color w:val="000000"/>
          <w:lang w:val="en-CA"/>
        </w:rPr>
        <w:t xml:space="preserve">FO = # of stomachs with </w:t>
      </w:r>
      <w:proofErr w:type="spellStart"/>
      <w:r>
        <w:rPr>
          <w:rFonts w:eastAsia="Times New Roman" w:cstheme="minorHAnsi"/>
          <w:color w:val="000000"/>
          <w:lang w:val="en-CA"/>
        </w:rPr>
        <w:t>prey</w:t>
      </w:r>
      <w:r w:rsidRPr="004C2951">
        <w:rPr>
          <w:rFonts w:eastAsia="Times New Roman" w:cstheme="minorHAnsi"/>
          <w:color w:val="000000"/>
          <w:vertAlign w:val="subscript"/>
          <w:lang w:val="en-CA"/>
        </w:rPr>
        <w:t>i</w:t>
      </w:r>
      <w:proofErr w:type="spellEnd"/>
      <w:r>
        <w:rPr>
          <w:rFonts w:eastAsia="Times New Roman" w:cstheme="minorHAnsi"/>
          <w:color w:val="000000"/>
          <w:lang w:val="en-CA"/>
        </w:rPr>
        <w:t xml:space="preserve"> / total # of stomachs</w:t>
      </w:r>
    </w:p>
    <w:p w14:paraId="38501367" w14:textId="77777777" w:rsidR="007A43B0" w:rsidRDefault="007A43B0" w:rsidP="008A1B91">
      <w:pPr>
        <w:spacing w:line="480" w:lineRule="auto"/>
        <w:rPr>
          <w:rFonts w:eastAsia="Times New Roman" w:cstheme="minorHAnsi"/>
          <w:color w:val="000000"/>
          <w:lang w:val="en-CA"/>
        </w:rPr>
      </w:pPr>
      <w:r w:rsidRPr="003C4653">
        <w:rPr>
          <w:rFonts w:eastAsia="Times New Roman" w:cstheme="minorHAnsi"/>
          <w:color w:val="000000"/>
          <w:lang w:val="en-CA"/>
        </w:rPr>
        <w:t xml:space="preserve">Gut fullness indices </w:t>
      </w:r>
      <w:r>
        <w:rPr>
          <w:rFonts w:eastAsia="Times New Roman" w:cstheme="minorHAnsi"/>
          <w:color w:val="000000"/>
          <w:lang w:val="en-CA"/>
        </w:rPr>
        <w:t xml:space="preserve">(GFI) </w:t>
      </w:r>
      <w:r w:rsidRPr="003C4653">
        <w:rPr>
          <w:rFonts w:eastAsia="Times New Roman" w:cstheme="minorHAnsi"/>
          <w:color w:val="000000"/>
          <w:lang w:val="en-CA"/>
        </w:rPr>
        <w:t>were also calculated</w:t>
      </w:r>
      <w:r>
        <w:rPr>
          <w:rFonts w:eastAsia="Times New Roman" w:cstheme="minorHAnsi"/>
          <w:color w:val="000000"/>
          <w:lang w:val="en-CA"/>
        </w:rPr>
        <w:t xml:space="preserve"> for each fish,</w:t>
      </w:r>
      <w:r w:rsidRPr="003C4653">
        <w:rPr>
          <w:rFonts w:eastAsia="Times New Roman" w:cstheme="minorHAnsi"/>
          <w:color w:val="000000"/>
          <w:lang w:val="en-CA"/>
        </w:rPr>
        <w:t xml:space="preserve"> express</w:t>
      </w:r>
      <w:r>
        <w:rPr>
          <w:rFonts w:eastAsia="Times New Roman" w:cstheme="minorHAnsi"/>
          <w:color w:val="000000"/>
          <w:lang w:val="en-CA"/>
        </w:rPr>
        <w:t>ed</w:t>
      </w:r>
      <w:r w:rsidRPr="003C4653">
        <w:rPr>
          <w:rFonts w:eastAsia="Times New Roman" w:cstheme="minorHAnsi"/>
          <w:color w:val="000000"/>
          <w:lang w:val="en-CA"/>
        </w:rPr>
        <w:t xml:space="preserve"> as percent body weight</w:t>
      </w:r>
      <w:r>
        <w:rPr>
          <w:rFonts w:eastAsia="Times New Roman" w:cstheme="minorHAnsi"/>
          <w:color w:val="000000"/>
          <w:lang w:val="en-CA"/>
        </w:rPr>
        <w:t>:</w:t>
      </w:r>
    </w:p>
    <w:p w14:paraId="73052EE8" w14:textId="77777777" w:rsidR="007A43B0" w:rsidRDefault="007A43B0" w:rsidP="008A1B91">
      <w:pPr>
        <w:spacing w:line="480" w:lineRule="auto"/>
        <w:jc w:val="center"/>
        <w:rPr>
          <w:rFonts w:eastAsia="Times New Roman" w:cstheme="minorHAnsi"/>
          <w:color w:val="000000"/>
          <w:lang w:val="en-CA"/>
        </w:rPr>
      </w:pPr>
      <w:r>
        <w:rPr>
          <w:rFonts w:eastAsia="Times New Roman" w:cstheme="minorHAnsi"/>
          <w:color w:val="000000"/>
          <w:lang w:val="en-CA"/>
        </w:rPr>
        <w:t>GFI = (food bolus weight / fish weight) * 100</w:t>
      </w:r>
    </w:p>
    <w:p w14:paraId="28E567FA" w14:textId="77777777" w:rsidR="007A43B0" w:rsidRDefault="007A43B0" w:rsidP="008A1B91">
      <w:pPr>
        <w:spacing w:line="480" w:lineRule="auto"/>
        <w:rPr>
          <w:rFonts w:eastAsia="Times New Roman" w:cstheme="minorHAnsi"/>
          <w:color w:val="000000"/>
          <w:lang w:val="en-CA"/>
        </w:rPr>
      </w:pPr>
      <w:r w:rsidRPr="003C4653">
        <w:rPr>
          <w:rFonts w:eastAsia="Times New Roman" w:cstheme="minorHAnsi"/>
          <w:color w:val="000000"/>
          <w:lang w:val="en-CA"/>
        </w:rPr>
        <w:t xml:space="preserve"> </w:t>
      </w:r>
      <w:r>
        <w:rPr>
          <w:rFonts w:eastAsia="Times New Roman" w:cstheme="minorHAnsi"/>
          <w:color w:val="000000"/>
          <w:lang w:val="en-CA"/>
        </w:rPr>
        <w:t xml:space="preserve">The </w:t>
      </w:r>
      <w:r w:rsidRPr="003C4653">
        <w:rPr>
          <w:rFonts w:eastAsia="Times New Roman" w:cstheme="minorHAnsi"/>
          <w:color w:val="000000"/>
          <w:lang w:val="en-CA"/>
        </w:rPr>
        <w:t>Schoene</w:t>
      </w:r>
      <w:r>
        <w:rPr>
          <w:rFonts w:eastAsia="Times New Roman" w:cstheme="minorHAnsi"/>
          <w:color w:val="000000"/>
          <w:lang w:val="en-CA"/>
        </w:rPr>
        <w:t>r</w:t>
      </w:r>
      <w:r w:rsidRPr="003C4653">
        <w:rPr>
          <w:rFonts w:eastAsia="Times New Roman" w:cstheme="minorHAnsi"/>
          <w:color w:val="000000"/>
          <w:lang w:val="en-CA"/>
        </w:rPr>
        <w:t xml:space="preserve"> </w:t>
      </w:r>
      <w:r>
        <w:rPr>
          <w:rFonts w:eastAsia="Times New Roman" w:cstheme="minorHAnsi"/>
          <w:color w:val="000000"/>
          <w:lang w:val="en-CA"/>
        </w:rPr>
        <w:t>percent similarity</w:t>
      </w:r>
      <w:r w:rsidRPr="003C4653">
        <w:rPr>
          <w:rFonts w:eastAsia="Times New Roman" w:cstheme="minorHAnsi"/>
          <w:color w:val="000000"/>
          <w:lang w:val="en-CA"/>
        </w:rPr>
        <w:t xml:space="preserve"> index</w:t>
      </w:r>
      <w:r>
        <w:rPr>
          <w:rFonts w:eastAsia="Times New Roman" w:cstheme="minorHAnsi"/>
          <w:color w:val="000000"/>
          <w:lang w:val="en-CA"/>
        </w:rPr>
        <w:t xml:space="preserve"> (PSI) for species diet overlap</w:t>
      </w:r>
      <w:r w:rsidRPr="003C4653">
        <w:rPr>
          <w:rFonts w:eastAsia="Times New Roman" w:cstheme="minorHAnsi"/>
          <w:color w:val="000000"/>
          <w:lang w:val="en-CA"/>
        </w:rPr>
        <w:t xml:space="preserve"> was calculated for each site</w:t>
      </w:r>
      <w:r>
        <w:rPr>
          <w:rFonts w:eastAsia="Times New Roman" w:cstheme="minorHAnsi"/>
          <w:color w:val="000000"/>
          <w:lang w:val="en-CA"/>
        </w:rPr>
        <w:t>:</w:t>
      </w:r>
    </w:p>
    <w:p w14:paraId="03D2B8AB" w14:textId="77777777" w:rsidR="007A43B0" w:rsidRPr="00266C78" w:rsidRDefault="007A43B0" w:rsidP="008A1B91">
      <w:pPr>
        <w:spacing w:line="480" w:lineRule="auto"/>
        <w:jc w:val="center"/>
        <w:rPr>
          <w:rFonts w:eastAsia="Times New Roman" w:cstheme="minorHAnsi"/>
          <w:color w:val="000000"/>
          <w:lang w:val="en-CA"/>
        </w:rPr>
      </w:pPr>
      <w:r>
        <w:rPr>
          <w:rFonts w:eastAsia="Times New Roman" w:cstheme="minorHAnsi"/>
          <w:color w:val="000000"/>
          <w:lang w:val="en-CA"/>
        </w:rPr>
        <w:t>PSI = [</w:t>
      </w:r>
      <w:r w:rsidRPr="004C2951">
        <w:rPr>
          <w:rFonts w:eastAsia="Times New Roman" w:cstheme="minorHAnsi"/>
          <w:color w:val="222222"/>
          <w:shd w:val="clear" w:color="auto" w:fill="FFFFFF"/>
          <w:lang w:val="en-CA"/>
        </w:rPr>
        <w:t>Σ</w:t>
      </w:r>
      <w:r>
        <w:rPr>
          <w:rFonts w:eastAsia="Times New Roman" w:cstheme="minorHAnsi"/>
          <w:color w:val="222222"/>
          <w:shd w:val="clear" w:color="auto" w:fill="FFFFFF"/>
          <w:lang w:val="en-CA"/>
        </w:rPr>
        <w:t xml:space="preserve"> </w:t>
      </w:r>
      <w:r>
        <w:rPr>
          <w:rFonts w:eastAsia="Times New Roman" w:cstheme="minorHAnsi"/>
          <w:color w:val="000000"/>
          <w:lang w:val="en-CA"/>
        </w:rPr>
        <w:t xml:space="preserve">(minimum </w:t>
      </w:r>
      <w:proofErr w:type="spellStart"/>
      <w:r>
        <w:rPr>
          <w:rFonts w:eastAsia="Times New Roman" w:cstheme="minorHAnsi"/>
          <w:color w:val="000000"/>
          <w:lang w:val="en-CA"/>
        </w:rPr>
        <w:t>prey</w:t>
      </w:r>
      <w:r w:rsidRPr="004C2951">
        <w:rPr>
          <w:rFonts w:eastAsia="Times New Roman" w:cstheme="minorHAnsi"/>
          <w:color w:val="000000"/>
          <w:vertAlign w:val="subscript"/>
          <w:lang w:val="en-CA"/>
        </w:rPr>
        <w:t>ip</w:t>
      </w:r>
      <w:proofErr w:type="spellEnd"/>
      <w:r>
        <w:rPr>
          <w:rFonts w:eastAsia="Times New Roman" w:cstheme="minorHAnsi"/>
          <w:color w:val="000000"/>
          <w:lang w:val="en-CA"/>
        </w:rPr>
        <w:t xml:space="preserve">, </w:t>
      </w:r>
      <w:proofErr w:type="spellStart"/>
      <w:r>
        <w:rPr>
          <w:rFonts w:eastAsia="Times New Roman" w:cstheme="minorHAnsi"/>
          <w:color w:val="000000"/>
          <w:lang w:val="en-CA"/>
        </w:rPr>
        <w:t>prey</w:t>
      </w:r>
      <w:r w:rsidRPr="004C2951">
        <w:rPr>
          <w:rFonts w:eastAsia="Times New Roman" w:cstheme="minorHAnsi"/>
          <w:color w:val="000000"/>
          <w:vertAlign w:val="subscript"/>
          <w:lang w:val="en-CA"/>
        </w:rPr>
        <w:t>ic</w:t>
      </w:r>
      <w:proofErr w:type="spellEnd"/>
      <w:r>
        <w:rPr>
          <w:rFonts w:eastAsia="Times New Roman" w:cstheme="minorHAnsi"/>
          <w:color w:val="000000"/>
          <w:lang w:val="en-CA"/>
        </w:rPr>
        <w:t>)] * 100</w:t>
      </w:r>
    </w:p>
    <w:p w14:paraId="4603193D" w14:textId="77777777" w:rsidR="007A43B0" w:rsidRDefault="007A43B0" w:rsidP="008A1B91">
      <w:pPr>
        <w:spacing w:line="480" w:lineRule="auto"/>
        <w:rPr>
          <w:rFonts w:eastAsia="Times New Roman" w:cstheme="minorHAnsi"/>
          <w:color w:val="000000"/>
          <w:lang w:val="en-CA"/>
        </w:rPr>
      </w:pPr>
      <w:r>
        <w:rPr>
          <w:rFonts w:eastAsia="Times New Roman" w:cstheme="minorHAnsi"/>
          <w:color w:val="000000"/>
          <w:lang w:val="en-CA"/>
        </w:rPr>
        <w:t xml:space="preserve">Where </w:t>
      </w:r>
      <w:proofErr w:type="spellStart"/>
      <w:r>
        <w:rPr>
          <w:rFonts w:eastAsia="Times New Roman" w:cstheme="minorHAnsi"/>
          <w:color w:val="000000"/>
          <w:lang w:val="en-CA"/>
        </w:rPr>
        <w:t>prey</w:t>
      </w:r>
      <w:r w:rsidRPr="004C2951">
        <w:rPr>
          <w:rFonts w:eastAsia="Times New Roman" w:cstheme="minorHAnsi"/>
          <w:color w:val="000000"/>
          <w:vertAlign w:val="subscript"/>
          <w:lang w:val="en-CA"/>
        </w:rPr>
        <w:t>ip</w:t>
      </w:r>
      <w:proofErr w:type="spellEnd"/>
      <w:r>
        <w:rPr>
          <w:rFonts w:eastAsia="Times New Roman" w:cstheme="minorHAnsi"/>
          <w:color w:val="000000"/>
          <w:lang w:val="en-CA"/>
        </w:rPr>
        <w:t xml:space="preserve"> is the proportion by weight of prey </w:t>
      </w:r>
      <w:proofErr w:type="spellStart"/>
      <w:r w:rsidRPr="004C2951">
        <w:rPr>
          <w:rFonts w:eastAsia="Times New Roman" w:cstheme="minorHAnsi"/>
          <w:i/>
          <w:iCs/>
          <w:color w:val="000000"/>
          <w:lang w:val="en-CA"/>
        </w:rPr>
        <w:t>i</w:t>
      </w:r>
      <w:proofErr w:type="spellEnd"/>
      <w:r>
        <w:rPr>
          <w:rFonts w:eastAsia="Times New Roman" w:cstheme="minorHAnsi"/>
          <w:color w:val="000000"/>
          <w:lang w:val="en-CA"/>
        </w:rPr>
        <w:t xml:space="preserve"> in pink salmon stomachs and </w:t>
      </w:r>
      <w:proofErr w:type="spellStart"/>
      <w:r>
        <w:rPr>
          <w:rFonts w:eastAsia="Times New Roman" w:cstheme="minorHAnsi"/>
          <w:color w:val="000000"/>
          <w:lang w:val="en-CA"/>
        </w:rPr>
        <w:t>prey</w:t>
      </w:r>
      <w:r w:rsidRPr="004C2951">
        <w:rPr>
          <w:rFonts w:eastAsia="Times New Roman" w:cstheme="minorHAnsi"/>
          <w:color w:val="000000"/>
          <w:vertAlign w:val="subscript"/>
          <w:lang w:val="en-CA"/>
        </w:rPr>
        <w:t>ic</w:t>
      </w:r>
      <w:proofErr w:type="spellEnd"/>
      <w:r>
        <w:rPr>
          <w:rFonts w:eastAsia="Times New Roman" w:cstheme="minorHAnsi"/>
          <w:color w:val="000000"/>
          <w:lang w:val="en-CA"/>
        </w:rPr>
        <w:t xml:space="preserve"> is the proportion by weight of prey </w:t>
      </w:r>
      <w:proofErr w:type="spellStart"/>
      <w:r w:rsidRPr="004C2951">
        <w:rPr>
          <w:rFonts w:eastAsia="Times New Roman" w:cstheme="minorHAnsi"/>
          <w:i/>
          <w:iCs/>
          <w:color w:val="000000"/>
          <w:lang w:val="en-CA"/>
        </w:rPr>
        <w:t>i</w:t>
      </w:r>
      <w:proofErr w:type="spellEnd"/>
      <w:r>
        <w:rPr>
          <w:rFonts w:eastAsia="Times New Roman" w:cstheme="minorHAnsi"/>
          <w:color w:val="000000"/>
          <w:lang w:val="en-CA"/>
        </w:rPr>
        <w:t xml:space="preserve"> in chum salmon stomachs </w:t>
      </w:r>
      <w:r>
        <w:rPr>
          <w:rFonts w:eastAsia="Times New Roman" w:cstheme="minorHAnsi"/>
          <w:color w:val="000000"/>
          <w:lang w:val="en-CA"/>
        </w:rPr>
        <w:fldChar w:fldCharType="begin" w:fldLock="1"/>
      </w:r>
      <w:r>
        <w:rPr>
          <w:rFonts w:eastAsia="Times New Roman" w:cstheme="minorHAnsi"/>
          <w:color w:val="000000"/>
          <w:lang w:val="en-CA"/>
        </w:rPr>
        <w:instrText>ADDIN CSL_CITATION {"citationItems":[{"id":"ITEM-1","itemData":{"author":[{"dropping-particle":"","family":"Krebs","given":"Charles J.","non-dropping-particle":"","parse-names":false,"suffix":""}],"chapter-number":"14","container-title":"Ecological Methodology","id":"ITEM-1","issued":{"date-parts":[["2013"]]},"page":"597-651","title":"Niche measures and resource preferences","type":"chapter"},"uris":["http://www.mendeley.com/documents/?uuid=224b1dde-da82-4c8d-8496-bb13439b1420"]},{"id":"ITEM-2","itemData":{"abstract":"This paper describes the elution behavior of model compounds in a polystyrene?divinylbenzene SEC column with NMP as mobile phase, operating at high temperature (80 °C). Model compounds covering polycyclic aromatic hydrocarbons, azaarenes, and other nitrogen and polar compounds have been studied. Most of the standard compounds eluted within one minute of the expected time indicated by the polystyrene calibration. The fractionation of a complex coal-derived sample (a coal tar pitch) using the same column has been achieved, with subsequent reinjection and analysis of the fractions by heated-probe mass spectrometry and UV-fluorescence. The probe-MS experiments were performed in order to show that the material of the excluded peak does not consist of small and polar molecular species, rather than larger-molecular mass material. All the fractions were reinjected and some of them gave small extra peaks in the SEC chromatogram. The earliest fractions showed very weak UV-fluorescence indicating the presence of very high molecular mass material. The later-eluting fractions showed relatively strong fluorescence intensities with the position of the fluorescence intensities shifting to shorter wavelengths as the SEC elution time increased, indicating that the smaller polynuclear aromatic ring systems elute in the late fractions. Probe mass spectra showed that only those fractions isolated from SEC at the long elution times gave signals characteristic of aromatic and nitrogen compounds; the molecular mass range decreased with increasing elution time. Since the structures of the material excluded from the column or even that near the exclusion limit are not known, it is impossible to select standard materials or standard polymeric compounds to represent the molecular mass range of coal-derived liquids. For this reason, we believe that the polystyrene calibration represents the most reasonable compromise for SEC in NMP solvent in our system.\\nThis paper describes the elution behavior of model compounds in a polystyrene?divinylbenzene SEC column with NMP as mobile phase, operating at high temperature (80 °C). Model compounds covering polycyclic aromatic hydrocarbons, azaarenes, and other nitrogen and polar compounds have been studied. Most of the standard compounds eluted within one minute of the expected time indicated by the polystyrene calibration. The fractionation of a complex coal-derived sample (a coal tar pitch) using the same column has been achieved, with subs…","author":[{"dropping-particle":"","family":"Chipps","given":"Steven R","non-dropping-particle":"","parse-names":false,"suffix":""},{"dropping-particle":"","family":"Garvey","given":"James E","non-dropping-particle":"","parse-names":false,"suffix":""}],"container-title":"American Fischery Society","id":"ITEM-2","issue":"May","issued":{"date-parts":[["2006"]]},"page":"42","title":"Assessment of Food Habits and Feeding Patterns","type":"article-journal"},"uris":["http://www.mendeley.com/documents/?uuid=256e5c30-59c4-4901-8498-68e7647a251a"]}],"mendeley":{"formattedCitation":"(Chipps &amp; Garvey, 2006; Krebs, 2013)","plainTextFormattedCitation":"(Chipps &amp; Garvey, 2006; Krebs, 2013)","previouslyFormattedCitation":"(Chipps &amp; Garvey, 2006; Krebs, 2013)"},"properties":{"noteIndex":0},"schema":"https://github.com/citation-style-language/schema/raw/master/csl-citation.json"}</w:instrText>
      </w:r>
      <w:r>
        <w:rPr>
          <w:rFonts w:eastAsia="Times New Roman" w:cstheme="minorHAnsi"/>
          <w:color w:val="000000"/>
          <w:lang w:val="en-CA"/>
        </w:rPr>
        <w:fldChar w:fldCharType="separate"/>
      </w:r>
      <w:r w:rsidRPr="00830B94">
        <w:rPr>
          <w:rFonts w:eastAsia="Times New Roman" w:cstheme="minorHAnsi"/>
          <w:noProof/>
          <w:color w:val="000000"/>
          <w:lang w:val="en-CA"/>
        </w:rPr>
        <w:t>(Chipps &amp; Garvey, 2006; Krebs, 2013)</w:t>
      </w:r>
      <w:r>
        <w:rPr>
          <w:rFonts w:eastAsia="Times New Roman" w:cstheme="minorHAnsi"/>
          <w:color w:val="000000"/>
          <w:lang w:val="en-CA"/>
        </w:rPr>
        <w:fldChar w:fldCharType="end"/>
      </w:r>
      <w:r>
        <w:rPr>
          <w:rFonts w:eastAsia="Times New Roman" w:cstheme="minorHAnsi"/>
          <w:color w:val="000000"/>
          <w:lang w:val="en-CA"/>
        </w:rPr>
        <w:t>.</w:t>
      </w:r>
    </w:p>
    <w:p w14:paraId="7FEC1DEF" w14:textId="77777777" w:rsidR="007A43B0" w:rsidRPr="003C4653" w:rsidRDefault="007A43B0" w:rsidP="008A1B91">
      <w:pPr>
        <w:spacing w:line="480" w:lineRule="auto"/>
        <w:rPr>
          <w:rFonts w:eastAsia="Times New Roman" w:cstheme="minorHAnsi"/>
          <w:lang w:val="en-CA"/>
        </w:rPr>
      </w:pPr>
      <w:r w:rsidRPr="003C4653">
        <w:rPr>
          <w:rFonts w:eastAsia="Times New Roman" w:cstheme="minorHAnsi"/>
          <w:color w:val="000000"/>
          <w:lang w:val="en-CA"/>
        </w:rPr>
        <w:t>Note, the empty stomachs (those with no identifiable prey) in this study were excluded from all the multivariate analyses but were included in the calculation of the above indices.</w:t>
      </w:r>
      <w:r>
        <w:rPr>
          <w:rFonts w:eastAsia="Times New Roman" w:cstheme="minorHAnsi"/>
          <w:color w:val="000000"/>
          <w:lang w:val="en-CA"/>
        </w:rPr>
        <w:t xml:space="preserve"> The prey taxonomic detail was retained in analyses, but for summary tables and figures, “other” is prey grouped together that doesn’t contribute substantially to diets, such as amphipods, barnacle larvae, bivalve larvae, cladocerans, fish larvae/eggs, pteropods, polychaetes, to name a few.</w:t>
      </w:r>
    </w:p>
    <w:p w14:paraId="30A11AF2" w14:textId="2F93851D" w:rsidR="00565B27" w:rsidRDefault="00565B27" w:rsidP="008A1B91">
      <w:pPr>
        <w:spacing w:line="480" w:lineRule="auto"/>
      </w:pPr>
    </w:p>
    <w:p w14:paraId="49668326" w14:textId="497B9885" w:rsidR="00565B27" w:rsidRPr="00565B27" w:rsidRDefault="00565B27" w:rsidP="008A1B91">
      <w:pPr>
        <w:spacing w:line="480" w:lineRule="auto"/>
        <w:rPr>
          <w:b/>
          <w:bCs/>
        </w:rPr>
      </w:pPr>
      <w:r w:rsidRPr="00565B27">
        <w:rPr>
          <w:b/>
          <w:bCs/>
        </w:rPr>
        <w:t>3.3 Results</w:t>
      </w:r>
    </w:p>
    <w:p w14:paraId="259705B4" w14:textId="2DC286A2" w:rsidR="00565B27" w:rsidRDefault="00565B27" w:rsidP="008A1B91">
      <w:pPr>
        <w:spacing w:line="480" w:lineRule="auto"/>
      </w:pPr>
    </w:p>
    <w:p w14:paraId="1AB3D031" w14:textId="3F03D130" w:rsidR="00565B27" w:rsidRDefault="00565B27" w:rsidP="008A1B91">
      <w:pPr>
        <w:spacing w:line="480" w:lineRule="auto"/>
      </w:pPr>
      <w:r>
        <w:t>TBD</w:t>
      </w:r>
    </w:p>
    <w:p w14:paraId="3B2C6121" w14:textId="3096F98B" w:rsidR="00565B27" w:rsidRDefault="00565B27" w:rsidP="008A1B91">
      <w:pPr>
        <w:spacing w:line="480" w:lineRule="auto"/>
      </w:pPr>
    </w:p>
    <w:p w14:paraId="62847A79" w14:textId="4AACF34A" w:rsidR="007A43B0" w:rsidRDefault="00565B27" w:rsidP="008A1B91">
      <w:pPr>
        <w:spacing w:line="480" w:lineRule="auto"/>
        <w:rPr>
          <w:b/>
          <w:bCs/>
        </w:rPr>
      </w:pPr>
      <w:r w:rsidRPr="00565B27">
        <w:rPr>
          <w:b/>
          <w:bCs/>
        </w:rPr>
        <w:t>3.4 Discussion</w:t>
      </w:r>
    </w:p>
    <w:p w14:paraId="67FE2FED" w14:textId="1D819355" w:rsidR="008A1B91" w:rsidRDefault="008A1B91" w:rsidP="008A1B91">
      <w:pPr>
        <w:spacing w:line="480" w:lineRule="auto"/>
        <w:rPr>
          <w:b/>
          <w:bCs/>
        </w:rPr>
      </w:pPr>
    </w:p>
    <w:p w14:paraId="0EFDDD81" w14:textId="541E9694" w:rsidR="008A1B91" w:rsidRPr="008A1B91" w:rsidRDefault="008A1B91" w:rsidP="008A1B91">
      <w:pPr>
        <w:spacing w:line="480" w:lineRule="auto"/>
      </w:pPr>
      <w:r>
        <w:rPr>
          <w:b/>
          <w:bCs/>
        </w:rPr>
        <w:tab/>
      </w:r>
    </w:p>
    <w:p w14:paraId="4993BD5B" w14:textId="77777777" w:rsidR="008A1B91" w:rsidRPr="008A1B91" w:rsidRDefault="008A1B91" w:rsidP="008A1B91">
      <w:pPr>
        <w:spacing w:line="480" w:lineRule="auto"/>
        <w:rPr>
          <w:b/>
          <w:bCs/>
        </w:rPr>
      </w:pPr>
    </w:p>
    <w:p w14:paraId="11406C49" w14:textId="35BD5091" w:rsidR="008A1B91" w:rsidRDefault="007A43B0" w:rsidP="008A1B91">
      <w:pPr>
        <w:spacing w:line="480" w:lineRule="auto"/>
        <w:rPr>
          <w:rFonts w:eastAsia="Times New Roman" w:cstheme="minorHAnsi"/>
          <w:color w:val="000000"/>
          <w:lang w:val="en-CA"/>
        </w:rPr>
      </w:pPr>
      <w:r>
        <w:rPr>
          <w:rFonts w:eastAsia="Times New Roman" w:cstheme="minorHAnsi"/>
          <w:color w:val="000000"/>
          <w:lang w:val="en-CA"/>
        </w:rPr>
        <w:tab/>
        <w:t>Microplastics were not the focus of this study but they were found in *****% of juvenile salmon stomachs, and one macroplastic was found to be 30% weight of a pink salmon stomach. That 6 mm macroplastic had the shape, color and texture of a broken straw piece and appeared larger than the sphincter could potentially pass, which would likely reduce survival for that fish. Impacts of plastics on salmon and occurrence in empty stomachs</w:t>
      </w:r>
      <w:r w:rsidR="008A1B91">
        <w:rPr>
          <w:rFonts w:eastAsia="Times New Roman" w:cstheme="minorHAnsi"/>
          <w:color w:val="000000"/>
          <w:lang w:val="en-CA"/>
        </w:rPr>
        <w:t>,</w:t>
      </w:r>
      <w:r>
        <w:rPr>
          <w:rFonts w:eastAsia="Times New Roman" w:cstheme="minorHAnsi"/>
          <w:color w:val="000000"/>
          <w:lang w:val="en-CA"/>
        </w:rPr>
        <w:t xml:space="preserve"> with potential for cumulative effects, </w:t>
      </w:r>
      <w:r w:rsidR="008A1B91">
        <w:rPr>
          <w:rFonts w:eastAsia="Times New Roman" w:cstheme="minorHAnsi"/>
          <w:color w:val="000000"/>
          <w:lang w:val="en-CA"/>
        </w:rPr>
        <w:t>should be researched further to better understand the multiple threats salmon face.</w:t>
      </w:r>
    </w:p>
    <w:p w14:paraId="3AC89814" w14:textId="3C7F0318" w:rsidR="008A1B91" w:rsidRDefault="008A1B91" w:rsidP="008A1B91">
      <w:pPr>
        <w:spacing w:line="480" w:lineRule="auto"/>
        <w:rPr>
          <w:rFonts w:eastAsia="Times New Roman" w:cstheme="minorHAnsi"/>
          <w:lang w:val="en-CA"/>
        </w:rPr>
      </w:pPr>
    </w:p>
    <w:p w14:paraId="6FA682A9" w14:textId="77777777" w:rsidR="008A1B91" w:rsidRDefault="008A1B91" w:rsidP="008A1B91">
      <w:pPr>
        <w:spacing w:line="480" w:lineRule="auto"/>
        <w:rPr>
          <w:rFonts w:eastAsia="Times New Roman" w:cstheme="minorHAnsi"/>
          <w:lang w:val="en-CA"/>
        </w:rPr>
      </w:pPr>
    </w:p>
    <w:p w14:paraId="3FE5DFFE" w14:textId="77777777" w:rsidR="008A1B91" w:rsidRPr="008A1B91" w:rsidRDefault="008A1B91" w:rsidP="008A1B91">
      <w:pPr>
        <w:spacing w:line="480" w:lineRule="auto"/>
        <w:rPr>
          <w:rFonts w:eastAsia="Times New Roman" w:cstheme="minorHAnsi"/>
          <w:lang w:val="en-CA"/>
        </w:rPr>
      </w:pPr>
    </w:p>
    <w:p w14:paraId="17D1133B" w14:textId="10EE5648" w:rsidR="00565B27" w:rsidRPr="00565B27" w:rsidRDefault="00565B27" w:rsidP="008A1B91">
      <w:pPr>
        <w:spacing w:line="480" w:lineRule="auto"/>
        <w:rPr>
          <w:b/>
          <w:bCs/>
        </w:rPr>
      </w:pPr>
      <w:r w:rsidRPr="00565B27">
        <w:rPr>
          <w:b/>
          <w:bCs/>
        </w:rPr>
        <w:t>3.5 Conclusion</w:t>
      </w:r>
    </w:p>
    <w:p w14:paraId="2270C8AC" w14:textId="5BCF3105" w:rsidR="00565B27" w:rsidRDefault="00565B27" w:rsidP="008A1B91">
      <w:pPr>
        <w:spacing w:line="480" w:lineRule="auto"/>
      </w:pPr>
    </w:p>
    <w:p w14:paraId="3698720C" w14:textId="69221BB3" w:rsidR="00565B27" w:rsidRDefault="00565B27" w:rsidP="008A1B91">
      <w:pPr>
        <w:spacing w:line="480" w:lineRule="auto"/>
      </w:pPr>
      <w:r>
        <w:t>TBD</w:t>
      </w:r>
    </w:p>
    <w:p w14:paraId="767F41B1" w14:textId="0B082142" w:rsidR="00565B27" w:rsidRDefault="00565B27" w:rsidP="008A1B91">
      <w:pPr>
        <w:spacing w:line="480" w:lineRule="auto"/>
      </w:pPr>
    </w:p>
    <w:p w14:paraId="51F0A17D" w14:textId="5C8D95F1" w:rsidR="00565B27" w:rsidRPr="00565B27" w:rsidRDefault="00565B27" w:rsidP="008A1B91">
      <w:pPr>
        <w:spacing w:line="480" w:lineRule="auto"/>
        <w:rPr>
          <w:b/>
          <w:bCs/>
        </w:rPr>
      </w:pPr>
      <w:r w:rsidRPr="00565B27">
        <w:rPr>
          <w:b/>
          <w:bCs/>
        </w:rPr>
        <w:t>References</w:t>
      </w:r>
    </w:p>
    <w:p w14:paraId="263C3EDB" w14:textId="694029B5" w:rsidR="001D5825" w:rsidRPr="001D5825" w:rsidRDefault="001D5825" w:rsidP="001D5825">
      <w:pPr>
        <w:widowControl w:val="0"/>
        <w:autoSpaceDE w:val="0"/>
        <w:autoSpaceDN w:val="0"/>
        <w:adjustRightInd w:val="0"/>
        <w:spacing w:line="480" w:lineRule="auto"/>
        <w:ind w:left="480" w:hanging="480"/>
        <w:rPr>
          <w:rFonts w:ascii="Calibri" w:hAnsi="Calibri" w:cs="Calibri"/>
          <w:noProof/>
        </w:rPr>
      </w:pPr>
      <w:r>
        <w:fldChar w:fldCharType="begin" w:fldLock="1"/>
      </w:r>
      <w:r>
        <w:instrText xml:space="preserve">ADDIN Mendeley Bibliography CSL_BIBLIOGRAPHY </w:instrText>
      </w:r>
      <w:r>
        <w:fldChar w:fldCharType="separate"/>
      </w:r>
      <w:r w:rsidRPr="001D5825">
        <w:rPr>
          <w:rFonts w:ascii="Calibri" w:hAnsi="Calibri" w:cs="Calibri"/>
          <w:noProof/>
        </w:rPr>
        <w:t xml:space="preserve">Chipps, S. R., &amp; Garvey, J. E. (2006). Assessment of Food Habits and Feeding Patterns. </w:t>
      </w:r>
      <w:r w:rsidRPr="001D5825">
        <w:rPr>
          <w:rFonts w:ascii="Calibri" w:hAnsi="Calibri" w:cs="Calibri"/>
          <w:i/>
          <w:iCs/>
          <w:noProof/>
        </w:rPr>
        <w:t>American Fischery Society</w:t>
      </w:r>
      <w:r w:rsidRPr="001D5825">
        <w:rPr>
          <w:rFonts w:ascii="Calibri" w:hAnsi="Calibri" w:cs="Calibri"/>
          <w:noProof/>
        </w:rPr>
        <w:t xml:space="preserve">, </w:t>
      </w:r>
      <w:r w:rsidRPr="001D5825">
        <w:rPr>
          <w:rFonts w:ascii="Calibri" w:hAnsi="Calibri" w:cs="Calibri"/>
          <w:i/>
          <w:iCs/>
          <w:noProof/>
        </w:rPr>
        <w:t>May</w:t>
      </w:r>
      <w:r w:rsidRPr="001D5825">
        <w:rPr>
          <w:rFonts w:ascii="Calibri" w:hAnsi="Calibri" w:cs="Calibri"/>
          <w:noProof/>
        </w:rPr>
        <w:t>, 42.</w:t>
      </w:r>
    </w:p>
    <w:p w14:paraId="70441FC9" w14:textId="77777777" w:rsidR="001D5825" w:rsidRPr="001D5825" w:rsidRDefault="001D5825" w:rsidP="001D5825">
      <w:pPr>
        <w:widowControl w:val="0"/>
        <w:autoSpaceDE w:val="0"/>
        <w:autoSpaceDN w:val="0"/>
        <w:adjustRightInd w:val="0"/>
        <w:spacing w:line="480" w:lineRule="auto"/>
        <w:ind w:left="480" w:hanging="480"/>
        <w:rPr>
          <w:rFonts w:ascii="Calibri" w:hAnsi="Calibri" w:cs="Calibri"/>
          <w:noProof/>
        </w:rPr>
      </w:pPr>
      <w:r w:rsidRPr="001D5825">
        <w:rPr>
          <w:rFonts w:ascii="Calibri" w:hAnsi="Calibri" w:cs="Calibri"/>
          <w:noProof/>
        </w:rPr>
        <w:t xml:space="preserve">Hunt, B. P. V., Johnson, B. T., Godwin, S. C., Krkošek, M., Pakhomov, E. A., &amp; Rogers, L. A. (2018). The Hakai Institute Juvenile Salmon Program : Early Life History Drivers of Marine Survival in Sockeye , Pink and Chum Salmon in British Columbia. </w:t>
      </w:r>
      <w:r w:rsidRPr="001D5825">
        <w:rPr>
          <w:rFonts w:ascii="Calibri" w:hAnsi="Calibri" w:cs="Calibri"/>
          <w:i/>
          <w:iCs/>
          <w:noProof/>
        </w:rPr>
        <w:t>North Pacific Anadromous Fish Commission</w:t>
      </w:r>
      <w:r w:rsidRPr="001D5825">
        <w:rPr>
          <w:rFonts w:ascii="Calibri" w:hAnsi="Calibri" w:cs="Calibri"/>
          <w:noProof/>
        </w:rPr>
        <w:t>, 14.</w:t>
      </w:r>
    </w:p>
    <w:p w14:paraId="0084661F" w14:textId="77777777" w:rsidR="001D5825" w:rsidRPr="001D5825" w:rsidRDefault="001D5825" w:rsidP="001D5825">
      <w:pPr>
        <w:widowControl w:val="0"/>
        <w:autoSpaceDE w:val="0"/>
        <w:autoSpaceDN w:val="0"/>
        <w:adjustRightInd w:val="0"/>
        <w:spacing w:line="480" w:lineRule="auto"/>
        <w:ind w:left="480" w:hanging="480"/>
        <w:rPr>
          <w:rFonts w:ascii="Calibri" w:hAnsi="Calibri" w:cs="Calibri"/>
          <w:noProof/>
        </w:rPr>
      </w:pPr>
      <w:r w:rsidRPr="001D5825">
        <w:rPr>
          <w:rFonts w:ascii="Calibri" w:hAnsi="Calibri" w:cs="Calibri"/>
          <w:noProof/>
        </w:rPr>
        <w:t xml:space="preserve">James, S. E. (2019). </w:t>
      </w:r>
      <w:r w:rsidRPr="001D5825">
        <w:rPr>
          <w:rFonts w:ascii="Calibri" w:hAnsi="Calibri" w:cs="Calibri"/>
          <w:i/>
          <w:iCs/>
          <w:noProof/>
        </w:rPr>
        <w:t>Foraging Ecology of Juvenile Fraser River Sockeye Salmon Across Mixed and Stratified Regions of the Early Marine Migration</w:t>
      </w:r>
      <w:r w:rsidRPr="001D5825">
        <w:rPr>
          <w:rFonts w:ascii="Calibri" w:hAnsi="Calibri" w:cs="Calibri"/>
          <w:noProof/>
        </w:rPr>
        <w:t>. https://doi.org/10.1017/CBO9781107415324.004</w:t>
      </w:r>
    </w:p>
    <w:p w14:paraId="724E6FBA" w14:textId="77777777" w:rsidR="001D5825" w:rsidRPr="001D5825" w:rsidRDefault="001D5825" w:rsidP="001D5825">
      <w:pPr>
        <w:widowControl w:val="0"/>
        <w:autoSpaceDE w:val="0"/>
        <w:autoSpaceDN w:val="0"/>
        <w:adjustRightInd w:val="0"/>
        <w:spacing w:line="480" w:lineRule="auto"/>
        <w:ind w:left="480" w:hanging="480"/>
        <w:rPr>
          <w:rFonts w:ascii="Calibri" w:hAnsi="Calibri" w:cs="Calibri"/>
          <w:noProof/>
        </w:rPr>
      </w:pPr>
      <w:r w:rsidRPr="001D5825">
        <w:rPr>
          <w:rFonts w:ascii="Calibri" w:hAnsi="Calibri" w:cs="Calibri"/>
          <w:noProof/>
        </w:rPr>
        <w:t xml:space="preserve">Johnson, B., Gan, J., Godwin, S., Krkosek, M., &amp; Hunt, B. (2019). Juvenile Salmon Migration Observations in the Discovery Islands and Johnstone Strait in 2018 Compared to 2015–2017. </w:t>
      </w:r>
      <w:r w:rsidRPr="001D5825">
        <w:rPr>
          <w:rFonts w:ascii="Calibri" w:hAnsi="Calibri" w:cs="Calibri"/>
          <w:i/>
          <w:iCs/>
          <w:noProof/>
        </w:rPr>
        <w:t>Technical Report</w:t>
      </w:r>
      <w:r w:rsidRPr="001D5825">
        <w:rPr>
          <w:rFonts w:ascii="Calibri" w:hAnsi="Calibri" w:cs="Calibri"/>
          <w:noProof/>
        </w:rPr>
        <w:t xml:space="preserve">, </w:t>
      </w:r>
      <w:r w:rsidRPr="001D5825">
        <w:rPr>
          <w:rFonts w:ascii="Calibri" w:hAnsi="Calibri" w:cs="Calibri"/>
          <w:i/>
          <w:iCs/>
          <w:noProof/>
        </w:rPr>
        <w:t>15</w:t>
      </w:r>
      <w:r w:rsidRPr="001D5825">
        <w:rPr>
          <w:rFonts w:ascii="Calibri" w:hAnsi="Calibri" w:cs="Calibri"/>
          <w:noProof/>
        </w:rPr>
        <w:t>, 31–39. https://doi.org/10.23849/npafctr15/31.39.</w:t>
      </w:r>
    </w:p>
    <w:p w14:paraId="462122D0" w14:textId="77777777" w:rsidR="001D5825" w:rsidRPr="001D5825" w:rsidRDefault="001D5825" w:rsidP="001D5825">
      <w:pPr>
        <w:widowControl w:val="0"/>
        <w:autoSpaceDE w:val="0"/>
        <w:autoSpaceDN w:val="0"/>
        <w:adjustRightInd w:val="0"/>
        <w:spacing w:line="480" w:lineRule="auto"/>
        <w:ind w:left="480" w:hanging="480"/>
        <w:rPr>
          <w:rFonts w:ascii="Calibri" w:hAnsi="Calibri" w:cs="Calibri"/>
          <w:noProof/>
        </w:rPr>
      </w:pPr>
      <w:r w:rsidRPr="001D5825">
        <w:rPr>
          <w:rFonts w:ascii="Calibri" w:hAnsi="Calibri" w:cs="Calibri"/>
          <w:noProof/>
        </w:rPr>
        <w:t xml:space="preserve">Krebs, C. J. (2013). Niche measures and resource preferences. In </w:t>
      </w:r>
      <w:r w:rsidRPr="001D5825">
        <w:rPr>
          <w:rFonts w:ascii="Calibri" w:hAnsi="Calibri" w:cs="Calibri"/>
          <w:i/>
          <w:iCs/>
          <w:noProof/>
        </w:rPr>
        <w:t>Ecological Methodology</w:t>
      </w:r>
      <w:r w:rsidRPr="001D5825">
        <w:rPr>
          <w:rFonts w:ascii="Calibri" w:hAnsi="Calibri" w:cs="Calibri"/>
          <w:noProof/>
        </w:rPr>
        <w:t xml:space="preserve"> (pp. 597–651).</w:t>
      </w:r>
    </w:p>
    <w:p w14:paraId="5BEBBF18" w14:textId="2A5521D8" w:rsidR="00565B27" w:rsidRDefault="001D5825" w:rsidP="008A1B91">
      <w:pPr>
        <w:spacing w:line="480" w:lineRule="auto"/>
      </w:pPr>
      <w:r>
        <w:fldChar w:fldCharType="end"/>
      </w:r>
    </w:p>
    <w:p w14:paraId="1EE0C10D" w14:textId="2113E9EF" w:rsidR="00565B27" w:rsidRPr="00565B27" w:rsidRDefault="00565B27" w:rsidP="008A1B91">
      <w:pPr>
        <w:spacing w:line="480" w:lineRule="auto"/>
        <w:rPr>
          <w:b/>
          <w:bCs/>
        </w:rPr>
      </w:pPr>
      <w:r w:rsidRPr="00565B27">
        <w:rPr>
          <w:b/>
          <w:bCs/>
        </w:rPr>
        <w:t>Tables</w:t>
      </w:r>
    </w:p>
    <w:p w14:paraId="14023C8F" w14:textId="34D9FF69" w:rsidR="00565B27" w:rsidRDefault="00565B27" w:rsidP="008A1B91">
      <w:pPr>
        <w:spacing w:line="480" w:lineRule="auto"/>
      </w:pPr>
    </w:p>
    <w:p w14:paraId="2A28213C" w14:textId="47AFE83F" w:rsidR="00565B27" w:rsidRDefault="00565B27" w:rsidP="008A1B91">
      <w:pPr>
        <w:spacing w:line="480" w:lineRule="auto"/>
      </w:pPr>
      <w:r>
        <w:t>TBD</w:t>
      </w:r>
    </w:p>
    <w:p w14:paraId="4E4B3F40" w14:textId="1074B8CC" w:rsidR="00565B27" w:rsidRPr="00565B27" w:rsidRDefault="00565B27" w:rsidP="008A1B91">
      <w:pPr>
        <w:spacing w:line="480" w:lineRule="auto"/>
        <w:rPr>
          <w:b/>
          <w:bCs/>
        </w:rPr>
      </w:pPr>
      <w:r w:rsidRPr="00565B27">
        <w:rPr>
          <w:b/>
          <w:bCs/>
        </w:rPr>
        <w:br/>
        <w:t>Figures</w:t>
      </w:r>
    </w:p>
    <w:p w14:paraId="68E2284C" w14:textId="4730E2AC" w:rsidR="00565B27" w:rsidRDefault="00565B27" w:rsidP="008A1B91">
      <w:pPr>
        <w:spacing w:line="480" w:lineRule="auto"/>
      </w:pPr>
    </w:p>
    <w:p w14:paraId="3974AC03" w14:textId="7A4767E4" w:rsidR="00565B27" w:rsidRDefault="00565B27" w:rsidP="008A1B91">
      <w:pPr>
        <w:spacing w:line="480" w:lineRule="auto"/>
      </w:pPr>
      <w:r>
        <w:t>TBD</w:t>
      </w:r>
    </w:p>
    <w:sectPr w:rsidR="00565B27" w:rsidSect="00A9452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Vanessa Fladmark" w:date="2020-06-23T11:32:00Z" w:initials="VF">
    <w:p w14:paraId="64801B16" w14:textId="4214BFFA" w:rsidR="001D5825" w:rsidRDefault="001D5825">
      <w:pPr>
        <w:pStyle w:val="CommentText"/>
      </w:pPr>
      <w:r>
        <w:rPr>
          <w:rStyle w:val="CommentReference"/>
        </w:rPr>
        <w:annotationRef/>
      </w:r>
      <w:r w:rsidR="001E7510">
        <w:t>Copied from Spatial Ch. Needs updating!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801B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C66C9" w16cex:dateUtc="2020-06-23T18: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801B16" w16cid:durableId="229C66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anessa Fladmark">
    <w15:presenceInfo w15:providerId="Windows Live" w15:userId="5fbc69579e6229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B27"/>
    <w:rsid w:val="00007AA2"/>
    <w:rsid w:val="000855B4"/>
    <w:rsid w:val="001D5825"/>
    <w:rsid w:val="001E7510"/>
    <w:rsid w:val="00431ABD"/>
    <w:rsid w:val="0051551B"/>
    <w:rsid w:val="00565B27"/>
    <w:rsid w:val="007A43B0"/>
    <w:rsid w:val="008A1B91"/>
    <w:rsid w:val="00A94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A2CB1"/>
  <w14:defaultImageDpi w14:val="32767"/>
  <w15:chartTrackingRefBased/>
  <w15:docId w15:val="{4B2BB428-143F-7246-9C03-9A007FC77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5B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5B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5B27"/>
    <w:rPr>
      <w:rFonts w:ascii="Times New Roman" w:hAnsi="Times New Roman" w:cs="Times New Roman"/>
      <w:sz w:val="18"/>
      <w:szCs w:val="18"/>
    </w:rPr>
  </w:style>
  <w:style w:type="paragraph" w:styleId="NormalWeb">
    <w:name w:val="Normal (Web)"/>
    <w:basedOn w:val="Normal"/>
    <w:uiPriority w:val="99"/>
    <w:semiHidden/>
    <w:unhideWhenUsed/>
    <w:rsid w:val="00565B27"/>
    <w:pPr>
      <w:spacing w:before="100" w:beforeAutospacing="1" w:after="100" w:afterAutospacing="1"/>
    </w:pPr>
    <w:rPr>
      <w:rFonts w:ascii="Times New Roman" w:eastAsia="Times New Roman" w:hAnsi="Times New Roman" w:cs="Times New Roman"/>
      <w:lang w:val="en-CA"/>
    </w:rPr>
  </w:style>
  <w:style w:type="character" w:customStyle="1" w:styleId="apple-tab-span">
    <w:name w:val="apple-tab-span"/>
    <w:basedOn w:val="DefaultParagraphFont"/>
    <w:rsid w:val="00565B27"/>
  </w:style>
  <w:style w:type="character" w:styleId="FootnoteReference">
    <w:name w:val="footnote reference"/>
    <w:basedOn w:val="DefaultParagraphFont"/>
    <w:uiPriority w:val="99"/>
    <w:semiHidden/>
    <w:unhideWhenUsed/>
    <w:rsid w:val="007A43B0"/>
    <w:rPr>
      <w:vertAlign w:val="superscript"/>
    </w:rPr>
  </w:style>
  <w:style w:type="character" w:styleId="CommentReference">
    <w:name w:val="annotation reference"/>
    <w:basedOn w:val="DefaultParagraphFont"/>
    <w:uiPriority w:val="99"/>
    <w:semiHidden/>
    <w:unhideWhenUsed/>
    <w:rsid w:val="001D5825"/>
    <w:rPr>
      <w:sz w:val="16"/>
      <w:szCs w:val="16"/>
    </w:rPr>
  </w:style>
  <w:style w:type="paragraph" w:styleId="CommentText">
    <w:name w:val="annotation text"/>
    <w:basedOn w:val="Normal"/>
    <w:link w:val="CommentTextChar"/>
    <w:uiPriority w:val="99"/>
    <w:semiHidden/>
    <w:unhideWhenUsed/>
    <w:rsid w:val="001D5825"/>
    <w:rPr>
      <w:sz w:val="20"/>
      <w:szCs w:val="20"/>
    </w:rPr>
  </w:style>
  <w:style w:type="character" w:customStyle="1" w:styleId="CommentTextChar">
    <w:name w:val="Comment Text Char"/>
    <w:basedOn w:val="DefaultParagraphFont"/>
    <w:link w:val="CommentText"/>
    <w:uiPriority w:val="99"/>
    <w:semiHidden/>
    <w:rsid w:val="001D5825"/>
    <w:rPr>
      <w:sz w:val="20"/>
      <w:szCs w:val="20"/>
    </w:rPr>
  </w:style>
  <w:style w:type="paragraph" w:styleId="CommentSubject">
    <w:name w:val="annotation subject"/>
    <w:basedOn w:val="CommentText"/>
    <w:next w:val="CommentText"/>
    <w:link w:val="CommentSubjectChar"/>
    <w:uiPriority w:val="99"/>
    <w:semiHidden/>
    <w:unhideWhenUsed/>
    <w:rsid w:val="001D5825"/>
    <w:rPr>
      <w:b/>
      <w:bCs/>
    </w:rPr>
  </w:style>
  <w:style w:type="character" w:customStyle="1" w:styleId="CommentSubjectChar">
    <w:name w:val="Comment Subject Char"/>
    <w:basedOn w:val="CommentTextChar"/>
    <w:link w:val="CommentSubject"/>
    <w:uiPriority w:val="99"/>
    <w:semiHidden/>
    <w:rsid w:val="001D582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020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FEA39-517E-3543-98DC-0AE297BFC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3594</Words>
  <Characters>20492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Fladmark</dc:creator>
  <cp:keywords/>
  <dc:description/>
  <cp:lastModifiedBy>Vanessa Fladmark</cp:lastModifiedBy>
  <cp:revision>3</cp:revision>
  <dcterms:created xsi:type="dcterms:W3CDTF">2020-06-23T16:57:00Z</dcterms:created>
  <dcterms:modified xsi:type="dcterms:W3CDTF">2020-06-30T19:34:00Z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http://www.zotero.org/styles/chicago-fullnote-bibliography</vt:lpwstr>
  </property>
  <property fmtid="{D5CDD505-2E9C-101B-9397-08002B2CF9AE}" pid="13" name="Mendeley Recent Style Name 5_1">
    <vt:lpwstr>Chicago Manual of Style 17th edition (full note)</vt:lpwstr>
  </property>
  <property fmtid="{D5CDD505-2E9C-101B-9397-08002B2CF9AE}" pid="14" name="Mendeley Recent Style Id 6_1">
    <vt:lpwstr>http://www.zotero.org/styles/chicago-note-bibliography</vt:lpwstr>
  </property>
  <property fmtid="{D5CDD505-2E9C-101B-9397-08002B2CF9AE}" pid="15" name="Mendeley Recent Style Name 6_1">
    <vt:lpwstr>Chicago Manual of Style 17th edition (note)</vt:lpwstr>
  </property>
  <property fmtid="{D5CDD505-2E9C-101B-9397-08002B2CF9AE}" pid="16" name="Mendeley Recent Style Id 7_1">
    <vt:lpwstr>http://www.zotero.org/styles/harvard-cite-them-right</vt:lpwstr>
  </property>
  <property fmtid="{D5CDD505-2E9C-101B-9397-08002B2CF9AE}" pid="17" name="Mendeley Recent Style Name 7_1">
    <vt:lpwstr>Cite Them Right 10th edition - Harvard</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870de23e-1f27-31b7-8266-e2f77f9f57c9</vt:lpwstr>
  </property>
  <property fmtid="{D5CDD505-2E9C-101B-9397-08002B2CF9AE}" pid="24" name="Mendeley Citation Style_1">
    <vt:lpwstr>http://www.zotero.org/styles/apa</vt:lpwstr>
  </property>
</Properties>
</file>