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79D4DE" w14:textId="2120D631"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75D8D736" w14:textId="2960A64A" w:rsidR="00FB3DFF" w:rsidRDefault="00FB3DFF">
      <w:pPr>
        <w:jc w:val="both"/>
        <w:rPr>
          <w:rFonts w:ascii="Aptos" w:eastAsia="Aptos" w:hAnsi="Aptos" w:cs="Aptos"/>
          <w:sz w:val="20"/>
          <w:szCs w:val="20"/>
        </w:rPr>
      </w:pPr>
    </w:p>
    <w:p w14:paraId="3169EB92" w14:textId="758F1E55" w:rsidR="00FB3DFF" w:rsidRDefault="00FB3DFF">
      <w:pPr>
        <w:jc w:val="both"/>
        <w:rPr>
          <w:rFonts w:ascii="Aptos" w:eastAsia="Aptos" w:hAnsi="Aptos" w:cs="Aptos"/>
          <w:sz w:val="20"/>
          <w:szCs w:val="20"/>
        </w:rPr>
      </w:pPr>
    </w:p>
    <w:p w14:paraId="46490166" w14:textId="377AE2ED" w:rsidR="00FB3DFF" w:rsidRDefault="00FB3DFF">
      <w:pPr>
        <w:jc w:val="both"/>
        <w:rPr>
          <w:rFonts w:ascii="Aptos" w:eastAsia="Aptos" w:hAnsi="Aptos" w:cs="Aptos"/>
          <w:sz w:val="20"/>
          <w:szCs w:val="20"/>
        </w:rPr>
      </w:pPr>
    </w:p>
    <w:p w14:paraId="6ADDA109" w14:textId="3A18B0DF"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26A1F776" w14:textId="713296F9"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E934FA9" w14:textId="1BD3FC3F" w:rsidR="00FB3DFF" w:rsidRDefault="00000000">
            <w:pPr>
              <w:jc w:val="both"/>
              <w:rPr>
                <w:rFonts w:ascii="Aptos" w:eastAsia="Aptos" w:hAnsi="Aptos" w:cs="Aptos"/>
                <w:b/>
                <w:bCs/>
                <w:sz w:val="20"/>
                <w:szCs w:val="20"/>
              </w:rPr>
            </w:pPr>
            <w:r>
              <w:rPr>
                <w:rFonts w:ascii="Aptos" w:eastAsia="Aptos" w:hAnsi="Aptos" w:cs="Aptos"/>
                <w:b/>
                <w:bCs/>
                <w:sz w:val="20"/>
                <w:szCs w:val="20"/>
              </w:rPr>
              <w:t>AUTHORIZATION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EFC084F" w14:textId="5A05EF99"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7DEA3AA6" w14:textId="4EF5DA5E"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59483140" w14:textId="3EDD9AAF"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1FE7CC44" w14:textId="404F23D1"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E89263F" w14:textId="362F7125"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6CF2BE2A" w14:textId="3250DEA0"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7B65FB27" w14:textId="1F689482"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D20E80F" w14:textId="109A9AA3"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27C77289" w14:textId="7205E7DC" w:rsidR="00FB3DFF" w:rsidRDefault="00FB3DFF">
      <w:pPr>
        <w:spacing w:line="400" w:lineRule="auto"/>
        <w:jc w:val="both"/>
        <w:rPr>
          <w:rFonts w:ascii="Aptos" w:eastAsia="Aptos" w:hAnsi="Aptos" w:cs="Aptos"/>
          <w:sz w:val="20"/>
          <w:szCs w:val="20"/>
        </w:rPr>
      </w:pPr>
    </w:p>
    <w:p w14:paraId="5125FCFB" w14:textId="774620A8"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1.0 Overview and General Working Agreement</w:t>
      </w:r>
    </w:p>
    <w:p w14:paraId="2A03F8FC" w14:textId="5E5AA3B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is an Authorization to Proceed (ATP) and Terms for services to be provided by </w:t>
      </w:r>
      <w:r>
        <w:rPr>
          <w:rFonts w:ascii="Aptos" w:eastAsia="Aptos" w:hAnsi="Aptos" w:cs="Aptos"/>
          <w:sz w:val="20"/>
          <w:szCs w:val="20"/>
        </w:rPr>
        <w:t xml:space="preserve">{{provider.legal_name}}</w:t>
      </w:r>
      <w:r>
        <w:rPr>
          <w:rFonts w:ascii="Aptos" w:eastAsia="Aptos" w:hAnsi="Aptos" w:cs="Aptos"/>
          <w:sz w:val="20"/>
          <w:szCs w:val="20"/>
        </w:rPr>
        <w:t xml:space="preserve">, company registration number </w:t>
      </w:r>
      <w:r>
        <w:rPr>
          <w:rFonts w:ascii="Aptos" w:eastAsia="Aptos" w:hAnsi="Aptos" w:cs="Aptos"/>
          <w:sz w:val="20"/>
          <w:szCs w:val="20"/>
        </w:rPr>
        <w:t xml:space="preserve">{{provider.reg_no}}</w:t>
      </w:r>
      <w:r>
        <w:rPr>
          <w:rFonts w:ascii="Aptos" w:eastAsia="Aptos" w:hAnsi="Aptos" w:cs="Aptos"/>
          <w:sz w:val="20"/>
          <w:szCs w:val="20"/>
        </w:rPr>
        <w:t xml:space="preserve">, of </w:t>
      </w:r>
      <w:r>
        <w:rPr>
          <w:rFonts w:ascii="Aptos" w:eastAsia="Aptos" w:hAnsi="Aptos" w:cs="Aptos"/>
          <w:sz w:val="20"/>
          <w:szCs w:val="20"/>
        </w:rPr>
        <w:t xml:space="preserve">{{provider.address}}</w:t>
      </w:r>
      <w:r>
        <w:rPr>
          <w:rFonts w:ascii="Aptos" w:eastAsia="Aptos" w:hAnsi="Aptos" w:cs="Aptos"/>
          <w:sz w:val="20"/>
          <w:szCs w:val="20"/>
        </w:rPr>
        <w:t xml:space="preserve"> (the “Provider”) to </w:t>
      </w:r>
      <w:r>
        <w:rPr>
          <w:rFonts w:ascii="Aptos" w:eastAsia="Aptos" w:hAnsi="Aptos" w:cs="Aptos"/>
          <w:sz w:val="20"/>
          <w:szCs w:val="20"/>
        </w:rPr>
        <w:t xml:space="preserve">{{client.legal_name}}</w:t>
      </w:r>
      <w:r>
        <w:rPr>
          <w:rFonts w:ascii="Aptos" w:eastAsia="Aptos" w:hAnsi="Aptos" w:cs="Aptos"/>
          <w:sz w:val="20"/>
          <w:szCs w:val="20"/>
        </w:rPr>
        <w:t xml:space="preserve">, company registration number </w:t>
      </w:r>
      <w:r>
        <w:rPr>
          <w:rFonts w:ascii="Aptos" w:eastAsia="Aptos" w:hAnsi="Aptos" w:cs="Aptos"/>
          <w:sz w:val="20"/>
          <w:szCs w:val="20"/>
        </w:rPr>
        <w:t xml:space="preserve">{{client.reg_no}}</w:t>
      </w:r>
      <w:r>
        <w:rPr>
          <w:rFonts w:ascii="Aptos" w:eastAsia="Aptos" w:hAnsi="Aptos" w:cs="Aptos"/>
          <w:sz w:val="20"/>
          <w:szCs w:val="20"/>
        </w:rPr>
        <w:t xml:space="preserve">, of </w:t>
      </w:r>
      <w:r>
        <w:rPr>
          <w:rFonts w:ascii="Aptos" w:eastAsia="Aptos" w:hAnsi="Aptos" w:cs="Aptos"/>
          <w:sz w:val="20"/>
          <w:szCs w:val="20"/>
        </w:rPr>
        <w:t xml:space="preserve">{{client.address}}</w:t>
      </w:r>
      <w:r>
        <w:rPr>
          <w:rFonts w:ascii="Aptos" w:eastAsia="Aptos" w:hAnsi="Aptos" w:cs="Aptos"/>
          <w:sz w:val="20"/>
          <w:szCs w:val="20"/>
        </w:rPr>
        <w:t xml:space="preserve"> (the “Client”).</w:t>
      </w:r>
    </w:p>
    <w:p w14:paraId="6D87A680" w14:textId="225192D6" w:rsidR="00FB3DFF" w:rsidRDefault="00FB3DFF">
      <w:pPr>
        <w:spacing w:line="140" w:lineRule="auto"/>
        <w:jc w:val="both"/>
        <w:rPr>
          <w:rFonts w:ascii="Aptos" w:eastAsia="Aptos" w:hAnsi="Aptos" w:cs="Aptos"/>
          <w:sz w:val="20"/>
          <w:szCs w:val="20"/>
        </w:rPr>
      </w:pPr>
    </w:p>
    <w:p w14:paraId="6C63832F" w14:textId="500596A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provide design and development services to support the Client’s efforts in launching the </w:t>
      </w:r>
      <w:r>
        <w:rPr>
          <w:rFonts w:ascii="Aptos" w:eastAsia="Aptos" w:hAnsi="Aptos" w:cs="Aptos"/>
          <w:sz w:val="20"/>
          <w:szCs w:val="20"/>
        </w:rPr>
        <w:t xml:space="preserve">{{project.name}}</w:t>
      </w:r>
      <w:r>
        <w:rPr>
          <w:rFonts w:ascii="Aptos" w:eastAsia="Aptos" w:hAnsi="Aptos" w:cs="Aptos"/>
          <w:sz w:val="20"/>
          <w:szCs w:val="20"/>
        </w:rPr>
        <w:t xml:space="preserve">, following the Provider’s proposal </w:t>
      </w:r>
      <w:r>
        <w:rPr>
          <w:rFonts w:ascii="Aptos" w:eastAsia="Aptos" w:hAnsi="Aptos" w:cs="Aptos"/>
          <w:sz w:val="20"/>
          <w:szCs w:val="20"/>
        </w:rPr>
        <w:t xml:space="preserve">{{proposal.ref}}</w:t>
      </w:r>
      <w:r>
        <w:rPr>
          <w:rFonts w:ascii="Aptos" w:eastAsia="Aptos" w:hAnsi="Aptos" w:cs="Aptos"/>
          <w:sz w:val="20"/>
          <w:szCs w:val="20"/>
        </w:rPr>
        <w:t xml:space="preserve"> dated </w:t>
      </w:r>
      <w:r>
        <w:rPr>
          <w:rFonts w:ascii="Aptos" w:eastAsia="Aptos" w:hAnsi="Aptos" w:cs="Aptos"/>
          <w:sz w:val="20"/>
          <w:szCs w:val="20"/>
        </w:rPr>
        <w:t xml:space="preserve">{{proposal.date}}</w:t>
      </w:r>
      <w:r>
        <w:rPr>
          <w:rFonts w:ascii="Aptos" w:eastAsia="Aptos" w:hAnsi="Aptos" w:cs="Aptos"/>
          <w:sz w:val="20"/>
          <w:szCs w:val="20"/>
        </w:rPr>
        <w:t xml:space="preserve">. This document is the ATP for the project. It describes the scope of work, process, deliverables, and the associated price for the project.</w:t>
      </w:r>
    </w:p>
    <w:p w14:paraId="1532D045" w14:textId="35AE5AB0" w:rsidR="00FB3DFF" w:rsidRDefault="00FB3DFF">
      <w:pPr>
        <w:spacing w:line="140" w:lineRule="auto"/>
        <w:jc w:val="both"/>
        <w:rPr>
          <w:rFonts w:ascii="Aptos" w:eastAsia="Aptos" w:hAnsi="Aptos" w:cs="Aptos"/>
          <w:sz w:val="20"/>
          <w:szCs w:val="20"/>
        </w:rPr>
      </w:pPr>
    </w:p>
    <w:p w14:paraId="4C1D27A8" w14:textId="7E359CA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document also sets out the terms and conditions (T&amp;C) of the working relationship between the parties. All projects and services (“the Work”) that the Provider is engaged to produce or provide for the Client are subject to these terms, which the Client accepts by signing this document.</w:t>
      </w:r>
    </w:p>
    <w:p w14:paraId="3C024ED8" w14:textId="730D6CE1" w:rsidR="00FB3DFF" w:rsidRDefault="00FB3DFF">
      <w:pPr>
        <w:spacing w:line="140" w:lineRule="auto"/>
        <w:jc w:val="both"/>
        <w:rPr>
          <w:rFonts w:ascii="Aptos" w:eastAsia="Aptos" w:hAnsi="Aptos" w:cs="Aptos"/>
          <w:sz w:val="20"/>
          <w:szCs w:val="20"/>
        </w:rPr>
      </w:pPr>
    </w:p>
    <w:p w14:paraId="7934C207" w14:textId="171BBA6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begin work once the Client has approved this ATP and the T&amp;C and the Provider has received payment of the initial invoice. The Client’s signature of this ATP and the T&amp;C constitutes a binding agreement between the parties (the “Agreement”).</w:t>
      </w:r>
    </w:p>
    <w:p w14:paraId="1FBA4741" w14:textId="7C92AE6C"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12D69A4" w14:textId="3FF7275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2.0 Scope of Work</w:t>
      </w:r>
    </w:p>
    <w:p w14:paraId="57BC6ED0" w14:textId="7704872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2.1 What the Provider will build</w:t>
      </w:r>
    </w:p>
    <w:p w14:paraId="18E241B9" w14:textId="39A1B7F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design and build </w:t>
      </w:r>
      <w:r>
        <w:rPr>
          <w:rFonts w:ascii="Aptos" w:eastAsia="Aptos" w:hAnsi="Aptos" w:cs="Aptos"/>
          <w:sz w:val="20"/>
          <w:szCs w:val="20"/>
        </w:rPr>
        <w:t xml:space="preserve">{{deliverable.article}}</w:t>
      </w:r>
      <w:r>
        <w:rPr>
          <w:rFonts w:ascii="Aptos" w:eastAsia="Aptos" w:hAnsi="Aptos" w:cs="Aptos"/>
          <w:sz w:val="20"/>
          <w:szCs w:val="20"/>
        </w:rPr>
        <w:t xml:space="preserve"> </w:t>
      </w:r>
      <w:r>
        <w:rPr>
          <w:rFonts w:ascii="Aptos" w:eastAsia="Aptos" w:hAnsi="Aptos" w:cs="Aptos"/>
          <w:sz w:val="20"/>
          <w:szCs w:val="20"/>
        </w:rPr>
        <w:t xml:space="preserve">{{deliverable}}</w:t>
      </w:r>
      <w:r>
        <w:rPr>
          <w:rFonts w:ascii="Aptos" w:eastAsia="Aptos" w:hAnsi="Aptos" w:cs="Aptos"/>
          <w:sz w:val="20"/>
          <w:szCs w:val="20"/>
        </w:rPr>
        <w:t xml:space="preserve"> for the Client on </w:t>
      </w:r>
      <w:r>
        <w:rPr>
          <w:rFonts w:ascii="Aptos" w:eastAsia="Aptos" w:hAnsi="Aptos" w:cs="Aptos"/>
          <w:sz w:val="20"/>
          <w:szCs w:val="20"/>
        </w:rPr>
        <w:t xml:space="preserve">{{scope.platform}}</w:t>
      </w:r>
      <w:r>
        <w:rPr>
          <w:rFonts w:ascii="Aptos" w:eastAsia="Aptos" w:hAnsi="Aptos" w:cs="Aptos"/>
          <w:sz w:val="20"/>
          <w:szCs w:val="20"/>
        </w:rPr>
        <w:t xml:space="preserve">. The build includes:</w:t>
      </w:r>
    </w:p>
    <w:p w14:paraId="7B1A30D3" w14:textId="50E2CB0F" w:rsidR="00FB3DFF" w:rsidRDefault="00FB3DFF">
      <w:pPr>
        <w:spacing w:line="80" w:lineRule="auto"/>
        <w:jc w:val="both"/>
        <w:rPr>
          <w:rFonts w:ascii="Aptos" w:eastAsia="Aptos" w:hAnsi="Aptos" w:cs="Aptos"/>
          <w:sz w:val="20"/>
          <w:szCs w:val="20"/>
        </w:rPr>
      </w:pPr>
    </w:p>
    <w:p w14:paraId="2149F74E" w14:textId="6BC224A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70CDB9DE" w14:textId="1192C8D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2.2 Pages included</w:t>
      </w:r>
    </w:p>
    <w:p w14:paraId="2EE7680D" w14:textId="278355C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includes the pages below. Where a page has subpages, they are listed beneath it and indented.</w:t>
      </w:r>
    </w:p>
    <w:p w14:paraId="55E9293F" w14:textId="386A0729" w:rsidR="00FB3DFF" w:rsidRDefault="00FB3DFF">
      <w:pPr>
        <w:spacing w:line="8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7A53A1ED" w14:textId="11F9C72A"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7954392" w14:textId="105F0590"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2F393CF" w14:textId="568CACF1"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0B845A" w14:textId="5E79557B"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6E1D9326" w14:textId="5AB05807" w:rsidR="00FB3DFF" w:rsidRDefault="00FB3DFF">
      <w:pPr>
        <w:spacing w:line="160" w:lineRule="auto"/>
        <w:jc w:val="both"/>
        <w:rPr>
          <w:rFonts w:ascii="Aptos" w:eastAsia="Aptos" w:hAnsi="Aptos" w:cs="Aptos"/>
          <w:sz w:val="20"/>
          <w:szCs w:val="20"/>
        </w:rPr>
      </w:pPr>
    </w:p>
    <w:p w14:paraId="2ABC55F9" w14:textId="565A563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2.3 What is not included</w:t>
      </w:r>
    </w:p>
    <w:p w14:paraId="46D4D6BB" w14:textId="1E04675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following are not included in this Agreement and will be quoted separately if the Client requires them: </w:t>
      </w:r>
      <w:r>
        <w:rPr>
          <w:rFonts w:ascii="Aptos" w:eastAsia="Aptos" w:hAnsi="Aptos" w:cs="Aptos"/>
          <w:sz w:val="20"/>
          <w:szCs w:val="20"/>
        </w:rPr>
        <w:t xml:space="preserve">{{scope.exclusions}}</w:t>
      </w:r>
      <w:r>
        <w:rPr>
          <w:rFonts w:ascii="Aptos" w:eastAsia="Aptos" w:hAnsi="Aptos" w:cs="Aptos"/>
          <w:sz w:val="20"/>
          <w:szCs w:val="20"/>
        </w:rPr>
        <w:t xml:space="preserve">.</w:t>
      </w:r>
    </w:p>
    <w:p w14:paraId="3F0547CC" w14:textId="474D8550" w:rsidR="00FB3DFF" w:rsidRDefault="00FB3DFF">
      <w:pPr>
        <w:spacing w:line="140" w:lineRule="auto"/>
        <w:jc w:val="both"/>
        <w:rPr>
          <w:rFonts w:ascii="Aptos" w:eastAsia="Aptos" w:hAnsi="Aptos" w:cs="Aptos"/>
          <w:sz w:val="20"/>
          <w:szCs w:val="20"/>
        </w:rPr>
      </w:pPr>
    </w:p>
    <w:p w14:paraId="22D60F12" w14:textId="77F6A66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domain name and the hosting account are held in the Client’s name and paid for by the Client directly.</w:t>
      </w:r>
    </w:p>
    <w:p w14:paraId="5F158F5F" w14:textId="267C2D5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673E1FA3" w14:textId="6AC173C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72B7B845" w14:textId="51E3A770"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6CB07C94" w14:textId="12E41662"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49038281" w14:textId="498AD544"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SSCL)</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9763BFC" w14:textId="31431B2D"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1B36722D" w14:textId="7644C661"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SSCL)</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A7E1DEA" w14:textId="413650AF"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3DE614E" w14:textId="3D4D4B53"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461A9A1" w14:textId="476E4B9A"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20C69DE" w14:textId="34C08A9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BCCEDED" w14:textId="331AE84C"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628B97E" w14:textId="47409554"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SSCL</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AE79E10" w14:textId="4BB1A24D"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F74E23A" w14:textId="31DCB78E"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505641D8" w14:textId="6C7E86FD" w:rsidR="00FB3DFF" w:rsidRDefault="00FB3DFF">
      <w:pPr>
        <w:spacing w:line="160" w:lineRule="auto"/>
        <w:jc w:val="both"/>
        <w:rPr>
          <w:rFonts w:ascii="Aptos" w:eastAsia="Aptos" w:hAnsi="Aptos" w:cs="Aptos"/>
          <w:sz w:val="20"/>
          <w:szCs w:val="20"/>
        </w:rPr>
      </w:pPr>
    </w:p>
    <w:p w14:paraId="44D76D1E" w14:textId="151F426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{{fee.headline}}</w:t>
      </w:r>
      <w:r>
        <w:rPr>
          <w:rFonts w:ascii="Aptos" w:eastAsia="Aptos" w:hAnsi="Aptos" w:cs="Aptos"/>
          <w:sz w:val="20"/>
          <w:szCs w:val="20"/>
        </w:rPr>
        <w:t xml:space="preserve"> All amounts are in Sri Lankan Rupees (LKR). The Provider is registered for the Social Security Contribution Levy (SSCL), so SSCL at </w:t>
      </w:r>
      <w:r>
        <w:rPr>
          <w:rFonts w:ascii="Aptos" w:eastAsia="Aptos" w:hAnsi="Aptos" w:cs="Aptos"/>
          <w:sz w:val="20"/>
          <w:szCs w:val="20"/>
        </w:rPr>
        <w:t xml:space="preserve">{{tax.rate_pct}}</w:t>
      </w:r>
      <w:r>
        <w:rPr>
          <w:rFonts w:ascii="Aptos" w:eastAsia="Aptos" w:hAnsi="Aptos" w:cs="Aptos"/>
          <w:sz w:val="20"/>
          <w:szCs w:val="20"/>
        </w:rPr>
        <w:t xml:space="preserve">, amounting to </w:t>
      </w:r>
      <w:r>
        <w:rPr>
          <w:rFonts w:ascii="Aptos" w:eastAsia="Aptos" w:hAnsi="Aptos" w:cs="Aptos"/>
          <w:sz w:val="20"/>
          <w:szCs w:val="20"/>
        </w:rPr>
        <w:t xml:space="preserve">{{fee.tax}}</w:t>
      </w:r>
      <w:r>
        <w:rPr>
          <w:rFonts w:ascii="Aptos" w:eastAsia="Aptos" w:hAnsi="Aptos" w:cs="Aptos"/>
          <w:sz w:val="20"/>
          <w:szCs w:val="20"/>
        </w:rPr>
        <w:t xml:space="preserve">, will be added and shown separately on each invoice, making the total payable </w:t>
      </w:r>
      <w:r>
        <w:rPr>
          <w:rFonts w:ascii="Aptos" w:eastAsia="Aptos" w:hAnsi="Aptos" w:cs="Aptos"/>
          <w:sz w:val="20"/>
          <w:szCs w:val="20"/>
        </w:rPr>
        <w:t xml:space="preserve">{{fee.total_inc}}</w:t>
      </w:r>
      <w:r>
        <w:rPr>
          <w:rFonts w:ascii="Aptos" w:eastAsia="Aptos" w:hAnsi="Aptos" w:cs="Aptos"/>
          <w:sz w:val="20"/>
          <w:szCs w:val="20"/>
        </w:rPr>
        <w:t xml:space="preserve"> including SSCL. Every other amount payable under this Agreement, including expenses and additional work, also excludes SSCL.</w:t>
      </w:r>
    </w:p>
    <w:p w14:paraId="43DCDF6B" w14:textId="28810CAA"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0E14DEE" w14:textId="2C5DD4F3"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3.0 Work Plan</w:t>
      </w:r>
    </w:p>
    <w:p w14:paraId="30F69D4A" w14:textId="4AAA206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3.1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4FDE4E4" w14:textId="48B66558"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CDDB6DF" w14:textId="71B1CA61"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7897324" w14:textId="4EE8B542"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B6DDA0" w14:textId="51FBF7A4"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9FB0EB" w14:textId="393F76FC"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3492CFD" w14:textId="1AACC0D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1C0AD4B8" w14:textId="335D04DE" w:rsidR="00FB3DFF" w:rsidRDefault="00FB3DFF">
      <w:pPr>
        <w:spacing w:line="160" w:lineRule="auto"/>
        <w:jc w:val="both"/>
        <w:rPr>
          <w:rFonts w:ascii="Aptos" w:eastAsia="Aptos" w:hAnsi="Aptos" w:cs="Aptos"/>
          <w:sz w:val="20"/>
          <w:szCs w:val="20"/>
        </w:rPr>
      </w:pPr>
    </w:p>
    <w:p w14:paraId="350E2935" w14:textId="698FC9B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{{timeline.duration}}</w:t>
      </w:r>
      <w:r>
        <w:rPr>
          <w:rFonts w:ascii="Aptos" w:eastAsia="Aptos" w:hAnsi="Aptos" w:cs="Aptos"/>
          <w:sz w:val="20"/>
          <w:szCs w:val="20"/>
        </w:rPr>
        <w:t xml:space="preserve"> from the project kick-off. Exact dates are confirmed at kick-off, and this timeline assumes the Client provides content, feedback and approvals by the dates they fall due.</w:t>
      </w:r>
    </w:p>
    <w:p w14:paraId="38514E3E" w14:textId="2AF2BD5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3.2 Work outside the agreed scope</w:t>
      </w:r>
    </w:p>
    <w:p w14:paraId="4E097CB7" w14:textId="2405179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Work outside the scope described in section 2.0 will increase the number of billable hours on the project and affect the projected target date. For such work, the Provider will inform the Client of the additional cost before the work begins, and the Client will be charged accordingly once it has approved that cost in writing (see section 6.0, Additions and Alterations).</w:t>
      </w:r>
    </w:p>
    <w:p w14:paraId="7DCE6F0B" w14:textId="4AAF95B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3.3 Deadlines</w:t>
      </w:r>
    </w:p>
    <w:p w14:paraId="1ED10735" w14:textId="3384843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plans its work to meet every agreed deadline, and relies on the Client to do the same by providing approvals, sign-offs and content on time. Delays in the Client’s approvals, and work outside the agreed scope, will move the project schedule, deadlines and milestones back accordingly, but payment milestones remain as scheduled, other than the final payment, which is due on acceptance under section 3.4. If the Provider misses a deadline for reasons within its control, the payment milestones move back accordingly. By signing this Agreement, the Client acknowledges its responsibility for keeping the project on schedule. The Provider manages the project and its schedule.</w:t>
      </w:r>
    </w:p>
    <w:p w14:paraId="4395D8ED" w14:textId="6ABC570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3.4 Acceptance</w:t>
      </w:r>
    </w:p>
    <w:p w14:paraId="71CD82D2" w14:textId="60CE576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is accepted when it performs as described in section 2.0. When the Provider notifies the Client that the </w:t>
      </w:r>
      <w:r>
        <w:rPr>
          <w:rFonts w:ascii="Aptos" w:eastAsia="Aptos" w:hAnsi="Aptos" w:cs="Aptos"/>
          <w:sz w:val="20"/>
          <w:szCs w:val="20"/>
        </w:rPr>
        <w:t xml:space="preserve">{{deliverable}}</w:t>
      </w:r>
      <w:r>
        <w:rPr>
          <w:rFonts w:ascii="Aptos" w:eastAsia="Aptos" w:hAnsi="Aptos" w:cs="Aptos"/>
          <w:sz w:val="20"/>
          <w:szCs w:val="20"/>
        </w:rPr>
        <w:t xml:space="preserve"> is ready for review, the Client has 5 business days to test it and either accept it in writing or provide a written list of anything that does not perform as described. The Provider will correct those items and return the </w:t>
      </w:r>
      <w:r>
        <w:rPr>
          <w:rFonts w:ascii="Aptos" w:eastAsia="Aptos" w:hAnsi="Aptos" w:cs="Aptos"/>
          <w:sz w:val="20"/>
          <w:szCs w:val="20"/>
        </w:rPr>
        <w:t xml:space="preserve">{{deliverable}}</w:t>
      </w:r>
      <w:r>
        <w:rPr>
          <w:rFonts w:ascii="Aptos" w:eastAsia="Aptos" w:hAnsi="Aptos" w:cs="Aptos"/>
          <w:sz w:val="20"/>
          <w:szCs w:val="20"/>
        </w:rPr>
        <w:t xml:space="preserve"> for re-testing, and each later round of testing has 3 business days.</w:t>
      </w:r>
    </w:p>
    <w:p w14:paraId="78797949" w14:textId="47DA3099" w:rsidR="00FB3DFF" w:rsidRDefault="00FB3DFF">
      <w:pPr>
        <w:spacing w:line="140" w:lineRule="auto"/>
        <w:jc w:val="both"/>
        <w:rPr>
          <w:rFonts w:ascii="Aptos" w:eastAsia="Aptos" w:hAnsi="Aptos" w:cs="Aptos"/>
          <w:sz w:val="20"/>
          <w:szCs w:val="20"/>
        </w:rPr>
      </w:pPr>
    </w:p>
    <w:p w14:paraId="1EA92D67" w14:textId="4A792DF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does not respond within the time allowed, the Provider will send a reminder. If the Client has still not responded 3 business days after that reminder, the </w:t>
      </w:r>
      <w:r>
        <w:rPr>
          <w:rFonts w:ascii="Aptos" w:eastAsia="Aptos" w:hAnsi="Aptos" w:cs="Aptos"/>
          <w:sz w:val="20"/>
          <w:szCs w:val="20"/>
        </w:rPr>
        <w:t xml:space="preserve">{{deliverable}}</w:t>
      </w:r>
      <w:r>
        <w:rPr>
          <w:rFonts w:ascii="Aptos" w:eastAsia="Aptos" w:hAnsi="Aptos" w:cs="Aptos"/>
          <w:sz w:val="20"/>
          <w:szCs w:val="20"/>
        </w:rPr>
        <w:t xml:space="preserve"> is deemed accepted. Any item that does not perform as described remains to be corrected under section 4.1.</w:t>
      </w:r>
    </w:p>
    <w:p w14:paraId="7C4060C2" w14:textId="730CD072" w:rsidR="00FB3DFF" w:rsidRDefault="00FB3DFF">
      <w:pPr>
        <w:spacing w:line="140" w:lineRule="auto"/>
        <w:jc w:val="both"/>
        <w:rPr>
          <w:rFonts w:ascii="Aptos" w:eastAsia="Aptos" w:hAnsi="Aptos" w:cs="Aptos"/>
          <w:sz w:val="20"/>
          <w:szCs w:val="20"/>
        </w:rPr>
      </w:pPr>
    </w:p>
    <w:p w14:paraId="1EFA959D" w14:textId="626A4C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 request to change something that performs as described is an addition or alteration under section 6.0, not a failure of acceptance. If the Client publishes the </w:t>
      </w:r>
      <w:r>
        <w:rPr>
          <w:rFonts w:ascii="Aptos" w:eastAsia="Aptos" w:hAnsi="Aptos" w:cs="Aptos"/>
          <w:sz w:val="20"/>
          <w:szCs w:val="20"/>
        </w:rPr>
        <w:t xml:space="preserve">{{deliverable}}</w:t>
      </w:r>
      <w:r>
        <w:rPr>
          <w:rFonts w:ascii="Aptos" w:eastAsia="Aptos" w:hAnsi="Aptos" w:cs="Aptos"/>
          <w:sz w:val="20"/>
          <w:szCs w:val="20"/>
        </w:rPr>
        <w:t xml:space="preserve"> or uses it in its business, it is accepted.</w:t>
      </w:r>
    </w:p>
    <w:p w14:paraId="32700746" w14:textId="6717990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3.5 Handover</w:t>
      </w:r>
    </w:p>
    <w:p w14:paraId="5E190C1B" w14:textId="1D30187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the Provider will give the Client full administrator access to the </w:t>
      </w:r>
      <w:r>
        <w:rPr>
          <w:rFonts w:ascii="Aptos" w:eastAsia="Aptos" w:hAnsi="Aptos" w:cs="Aptos"/>
          <w:sz w:val="20"/>
          <w:szCs w:val="20"/>
        </w:rPr>
        <w:t xml:space="preserve">{{deliverable}}</w:t>
      </w:r>
      <w:r>
        <w:rPr>
          <w:rFonts w:ascii="Aptos" w:eastAsia="Aptos" w:hAnsi="Aptos" w:cs="Aptos"/>
          <w:sz w:val="20"/>
          <w:szCs w:val="20"/>
        </w:rPr>
        <w:t xml:space="preserve">, a handover session, and guidance on publishing and updating content. The </w:t>
      </w:r>
      <w:r>
        <w:rPr>
          <w:rFonts w:ascii="Aptos" w:eastAsia="Aptos" w:hAnsi="Aptos" w:cs="Aptos"/>
          <w:sz w:val="20"/>
          <w:szCs w:val="20"/>
        </w:rPr>
        <w:t xml:space="preserve">{{deliverable}}</w:t>
      </w:r>
      <w:r>
        <w:rPr>
          <w:rFonts w:ascii="Aptos" w:eastAsia="Aptos" w:hAnsi="Aptos" w:cs="Aptos"/>
          <w:sz w:val="20"/>
          <w:szCs w:val="20"/>
        </w:rPr>
        <w:t xml:space="preserve"> runs on hosting held in the Client’s name. Once all invoices have been paid in full, the Provider will hand over any other accounts and credentials it holds for the </w:t>
      </w:r>
      <w:r>
        <w:rPr>
          <w:rFonts w:ascii="Aptos" w:eastAsia="Aptos" w:hAnsi="Aptos" w:cs="Aptos"/>
          <w:sz w:val="20"/>
          <w:szCs w:val="20"/>
        </w:rPr>
        <w:t xml:space="preserve">{{deliverable}}</w:t>
      </w:r>
      <w:r>
        <w:rPr>
          <w:rFonts w:ascii="Aptos" w:eastAsia="Aptos" w:hAnsi="Aptos" w:cs="Aptos"/>
          <w:sz w:val="20"/>
          <w:szCs w:val="20"/>
        </w:rPr>
        <w:t xml:space="preserve">, and an export of the Client’s content and data on request. The Provider’s working design files are not part of the handover, and the Client’s ownership of the design under section 11.0 is unaffected.</w:t>
      </w:r>
    </w:p>
    <w:p w14:paraId="72CF105A" w14:textId="791414C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{{?online_store}}</w:t>
      </w:r>
    </w:p>
    <w:p w14:paraId="64B5D433" w14:textId="7A7848A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3.6 Online store</w:t>
      </w:r>
    </w:p>
    <w:p w14:paraId="20785EDE" w14:textId="30303C6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online store takes payments through a payment gateway, such as PayHere, WebXPay or the Client’s bank, under a merchant account held in the Client’s name. Obtaining the gateway’s approval of that account is the Client’s responsibility, and any delay in that approval is a delay on the Client’s side under section 15.0. Card details are entered on the gateway’s systems and held by the gateway, and the </w:t>
      </w:r>
      <w:r>
        <w:rPr>
          <w:rFonts w:ascii="Aptos" w:eastAsia="Aptos" w:hAnsi="Aptos" w:cs="Aptos"/>
          <w:sz w:val="20"/>
          <w:szCs w:val="20"/>
        </w:rPr>
        <w:t xml:space="preserve">{{deliverable}}</w:t>
      </w:r>
      <w:r>
        <w:rPr>
          <w:rFonts w:ascii="Aptos" w:eastAsia="Aptos" w:hAnsi="Aptos" w:cs="Aptos"/>
          <w:sz w:val="20"/>
          <w:szCs w:val="20"/>
        </w:rPr>
        <w:t xml:space="preserve"> does not store card numbers. The gateway’s fees are borne by the Client under section 5.0.</w:t>
      </w:r>
    </w:p>
    <w:p w14:paraId="600D4067" w14:textId="75BC279F" w:rsidR="00FB3DFF" w:rsidRDefault="00FB3DFF">
      <w:pPr>
        <w:spacing w:line="140" w:lineRule="auto"/>
        <w:jc w:val="both"/>
        <w:rPr>
          <w:rFonts w:ascii="Aptos" w:eastAsia="Aptos" w:hAnsi="Aptos" w:cs="Aptos"/>
          <w:sz w:val="20"/>
          <w:szCs w:val="20"/>
        </w:rPr>
      </w:pPr>
    </w:p>
    <w:p w14:paraId="5E989388" w14:textId="6930553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supplies its products, prices, delivery and collection rules, and its terms of sale and refund policy, and is responsible for that content under section 7.0. The Provider will add up to </w:t>
      </w:r>
      <w:r>
        <w:rPr>
          <w:rFonts w:ascii="Aptos" w:eastAsia="Aptos" w:hAnsi="Aptos" w:cs="Aptos"/>
          <w:sz w:val="20"/>
          <w:szCs w:val="20"/>
        </w:rPr>
        <w:t xml:space="preserve">{{scope.store_products}}</w:t>
      </w:r>
      <w:r>
        <w:rPr>
          <w:rFonts w:ascii="Aptos" w:eastAsia="Aptos" w:hAnsi="Aptos" w:cs="Aptos"/>
          <w:sz w:val="20"/>
          <w:szCs w:val="20"/>
        </w:rPr>
        <w:t xml:space="preserve"> products to the store from a spreadsheet the Client supplies. Further products may be added by the Client or quoted separately under section 6.0.</w:t>
      </w:r>
    </w:p>
    <w:p w14:paraId="7BAAFB8D" w14:textId="622B5887" w:rsidR="00FB3DFF" w:rsidRDefault="00FB3DFF">
      <w:pPr>
        <w:spacing w:line="140" w:lineRule="auto"/>
        <w:jc w:val="both"/>
        <w:rPr>
          <w:rFonts w:ascii="Aptos" w:eastAsia="Aptos" w:hAnsi="Aptos" w:cs="Aptos"/>
          <w:sz w:val="20"/>
          <w:szCs w:val="20"/>
        </w:rPr>
      </w:pPr>
    </w:p>
    <w:p w14:paraId="6124D1F2" w14:textId="3ECF0D8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the store is live, orders, payments, refunds and customer service are the Client’s responsibility. The Provider is not responsible for the payment gateway’s availability, fees or decisions, including any hold it places on payments.</w:t>
      </w:r>
    </w:p>
    <w:p w14:paraId="2E417EF7" w14:textId="2F8CFE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{{/online_store}}</w:t>
      </w:r>
    </w:p>
    <w:p w14:paraId="36D4F38B" w14:textId="3E34AE0C"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643AEC4" w14:textId="4A2E90FD"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4.0 Payments</w:t>
      </w:r>
    </w:p>
    <w:p w14:paraId="2CCDE5E2" w14:textId="24DF9CD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agrees to pay the Provider in accordance with the payment schedule in section 2.4, which is the only schedule of payments under this Agreement. All fees are due and payable on receipt of invoice, including those for any stock photography or other purchased materials authorised for the project. The first payment is due before work begins, and the final payment is due on acceptance of the </w:t>
      </w:r>
      <w:r>
        <w:rPr>
          <w:rFonts w:ascii="Aptos" w:eastAsia="Aptos" w:hAnsi="Aptos" w:cs="Aptos"/>
          <w:sz w:val="20"/>
          <w:szCs w:val="20"/>
        </w:rPr>
        <w:t xml:space="preserve">{{deliverable}}</w:t>
      </w:r>
      <w:r>
        <w:rPr>
          <w:rFonts w:ascii="Aptos" w:eastAsia="Aptos" w:hAnsi="Aptos" w:cs="Aptos"/>
          <w:sz w:val="20"/>
          <w:szCs w:val="20"/>
        </w:rPr>
        <w:t xml:space="preserve"> under section 3.4.</w:t>
      </w:r>
    </w:p>
    <w:p w14:paraId="60C228DD" w14:textId="4C996B6C" w:rsidR="00FB3DFF" w:rsidRDefault="00FB3DFF">
      <w:pPr>
        <w:spacing w:line="140" w:lineRule="auto"/>
        <w:jc w:val="both"/>
        <w:rPr>
          <w:rFonts w:ascii="Aptos" w:eastAsia="Aptos" w:hAnsi="Aptos" w:cs="Aptos"/>
          <w:sz w:val="20"/>
          <w:szCs w:val="20"/>
        </w:rPr>
      </w:pPr>
    </w:p>
    <w:p w14:paraId="72A33D59" w14:textId="3F7047B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suspend work, and withhold delivery, until any overdue balance is paid. Final payment is required before any files, accounts or ownership are handed over under sections 3.5 and 11.0.</w:t>
      </w:r>
    </w:p>
    <w:p w14:paraId="71D741A8" w14:textId="557E45D3" w:rsidR="00FB3DFF" w:rsidRDefault="00FB3DFF">
      <w:pPr>
        <w:spacing w:line="140" w:lineRule="auto"/>
        <w:jc w:val="both"/>
        <w:rPr>
          <w:rFonts w:ascii="Aptos" w:eastAsia="Aptos" w:hAnsi="Aptos" w:cs="Aptos"/>
          <w:sz w:val="20"/>
          <w:szCs w:val="20"/>
        </w:rPr>
      </w:pPr>
    </w:p>
    <w:p w14:paraId="47652777" w14:textId="6C40CB8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first payment secures the Client’s place in the Provider’s schedule. If the Client ends this Agreement, the Provider retains it. If the Provider ends this Agreement for any reason other than the Client’s breach, the Provider will refund it, less the value of work already performed and costs already committed.</w:t>
      </w:r>
    </w:p>
    <w:p w14:paraId="3363245E" w14:textId="5EEE2C5F" w:rsidR="00FB3DFF" w:rsidRDefault="00FB3DFF">
      <w:pPr>
        <w:spacing w:line="140" w:lineRule="auto"/>
        <w:jc w:val="both"/>
        <w:rPr>
          <w:rFonts w:ascii="Aptos" w:eastAsia="Aptos" w:hAnsi="Aptos" w:cs="Aptos"/>
          <w:sz w:val="20"/>
          <w:szCs w:val="20"/>
        </w:rPr>
      </w:pPr>
    </w:p>
    <w:p w14:paraId="6AED06BE" w14:textId="124DD0B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may withhold payment of a milestone until the work that milestone relates to has been delivered, unless the delivery is late because of the Client, in which case section 3.3 applies.</w:t>
      </w:r>
    </w:p>
    <w:p w14:paraId="2F6B697A" w14:textId="7678567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4.1 Support</w:t>
      </w:r>
    </w:p>
    <w:p w14:paraId="575D1F1E" w14:textId="549F54C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Standard technical support is provided for </w:t>
      </w:r>
      <w:r>
        <w:rPr>
          <w:rFonts w:ascii="Aptos" w:eastAsia="Aptos" w:hAnsi="Aptos" w:cs="Aptos"/>
          <w:sz w:val="20"/>
          <w:szCs w:val="20"/>
        </w:rPr>
        <w:t xml:space="preserve">{{support.included.period}}</w:t>
      </w:r>
      <w:r>
        <w:rPr>
          <w:rFonts w:ascii="Aptos" w:eastAsia="Aptos" w:hAnsi="Aptos" w:cs="Aptos"/>
          <w:sz w:val="20"/>
          <w:szCs w:val="20"/>
        </w:rPr>
        <w:t xml:space="preserve"> from acceptance of the </w:t>
      </w:r>
      <w:r>
        <w:rPr>
          <w:rFonts w:ascii="Aptos" w:eastAsia="Aptos" w:hAnsi="Aptos" w:cs="Aptos"/>
          <w:sz w:val="20"/>
          <w:szCs w:val="20"/>
        </w:rPr>
        <w:t xml:space="preserve">{{deliverable}}</w:t>
      </w:r>
      <w:r>
        <w:rPr>
          <w:rFonts w:ascii="Aptos" w:eastAsia="Aptos" w:hAnsi="Aptos" w:cs="Aptos"/>
          <w:sz w:val="20"/>
          <w:szCs w:val="20"/>
        </w:rPr>
        <w:t xml:space="preserve"> under section 3.4, from </w:t>
      </w:r>
      <w:r>
        <w:rPr>
          <w:rFonts w:ascii="Aptos" w:eastAsia="Aptos" w:hAnsi="Aptos" w:cs="Aptos"/>
          <w:sz w:val="20"/>
          <w:szCs w:val="20"/>
        </w:rPr>
        <w:t xml:space="preserve">{{support_hours}}</w:t>
      </w:r>
      <w:r>
        <w:rPr>
          <w:rFonts w:ascii="Aptos" w:eastAsia="Aptos" w:hAnsi="Aptos" w:cs="Aptos"/>
          <w:sz w:val="20"/>
          <w:szCs w:val="20"/>
        </w:rPr>
        <w:t xml:space="preserve">. During that period the Provider will correct, at no charge, any defect where the </w:t>
      </w:r>
      <w:r>
        <w:rPr>
          <w:rFonts w:ascii="Aptos" w:eastAsia="Aptos" w:hAnsi="Aptos" w:cs="Aptos"/>
          <w:sz w:val="20"/>
          <w:szCs w:val="20"/>
        </w:rPr>
        <w:t xml:space="preserve">{{deliverable}}</w:t>
      </w:r>
      <w:r>
        <w:rPr>
          <w:rFonts w:ascii="Aptos" w:eastAsia="Aptos" w:hAnsi="Aptos" w:cs="Aptos"/>
          <w:sz w:val="20"/>
          <w:szCs w:val="20"/>
        </w:rPr>
        <w:t xml:space="preserve"> does not perform as described in section 2.0. Support does not cover design changes, new features, faults caused by changes made by others, or problems with third-party services.</w:t>
      </w:r>
    </w:p>
    <w:p w14:paraId="3B1A4944" w14:textId="7CBA21A1" w:rsidR="00FB3DFF" w:rsidRDefault="00FB3DFF">
      <w:pPr>
        <w:spacing w:line="140" w:lineRule="auto"/>
        <w:jc w:val="both"/>
        <w:rPr>
          <w:rFonts w:ascii="Aptos" w:eastAsia="Aptos" w:hAnsi="Aptos" w:cs="Aptos"/>
          <w:sz w:val="20"/>
          <w:szCs w:val="20"/>
        </w:rPr>
      </w:pPr>
    </w:p>
    <w:p w14:paraId="55E09FE8" w14:textId="76CA2AB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begin work on a reported defect within one business day if the </w:t>
      </w:r>
      <w:r>
        <w:rPr>
          <w:rFonts w:ascii="Aptos" w:eastAsia="Aptos" w:hAnsi="Aptos" w:cs="Aptos"/>
          <w:sz w:val="20"/>
          <w:szCs w:val="20"/>
        </w:rPr>
        <w:t xml:space="preserve">{{deliverable}}</w:t>
      </w:r>
      <w:r>
        <w:rPr>
          <w:rFonts w:ascii="Aptos" w:eastAsia="Aptos" w:hAnsi="Aptos" w:cs="Aptos"/>
          <w:sz w:val="20"/>
          <w:szCs w:val="20"/>
        </w:rPr>
        <w:t xml:space="preserve"> is unavailable or data is being lost or exposed, and within three business days in any other case. These are the times within which work begins, not the times by which every correction is completed.</w:t>
      </w:r>
    </w:p>
    <w:p w14:paraId="4BCC74A4" w14:textId="504F9256" w:rsidR="00FB3DFF" w:rsidRDefault="00FB3DFF">
      <w:pPr>
        <w:spacing w:line="140" w:lineRule="auto"/>
        <w:jc w:val="both"/>
        <w:rPr>
          <w:rFonts w:ascii="Aptos" w:eastAsia="Aptos" w:hAnsi="Aptos" w:cs="Aptos"/>
          <w:sz w:val="20"/>
          <w:szCs w:val="20"/>
        </w:rPr>
      </w:pPr>
    </w:p>
    <w:p w14:paraId="33D457E3" w14:textId="41274BD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After that period, ongoing support and maintenance are available as a separate service, on terms agreed in writing.</w:t>
      </w:r>
    </w:p>
    <w:p w14:paraId="1BEADA8C" w14:textId="3D6C500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4.2 Design Iterations</w:t>
      </w:r>
    </w:p>
    <w:p w14:paraId="54158E1F" w14:textId="28A6996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provide up to three (3) design iterations. Any additional iteration will be quoted before it begins and charged only once the Client has approved the quote in writing.</w:t>
      </w:r>
    </w:p>
    <w:p w14:paraId="58C1B57D" w14:textId="6500D8B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6C90081" w14:textId="6E8D1EA5"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5.0 Out-of-Pocket Expenses</w:t>
      </w:r>
    </w:p>
    <w:p w14:paraId="409400C2" w14:textId="1324341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Fees for professional services do not include outside purchases such as, but not limited to, stock images, fonts, plugins, software licences, domains, hosting, photography and illustrations. Such expenses will be charged only if the Client has approved them in writing before purchase, and are passed on at cost. If the Provider’s services are required outside Colombo, travel and accommodation will be charged at cost, with the Client’s prior approval.</w:t>
      </w:r>
    </w:p>
    <w:p w14:paraId="7CAC0BFF" w14:textId="34E5DEEF" w:rsidR="00FB3DFF" w:rsidRDefault="00FB3DFF">
      <w:pPr>
        <w:spacing w:line="140" w:lineRule="auto"/>
        <w:jc w:val="both"/>
        <w:rPr>
          <w:rFonts w:ascii="Aptos" w:eastAsia="Aptos" w:hAnsi="Aptos" w:cs="Aptos"/>
          <w:sz w:val="20"/>
          <w:szCs w:val="20"/>
        </w:rPr>
      </w:pPr>
    </w:p>
    <w:p w14:paraId="5C83B94C" w14:textId="6697FD0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directs the Provider to cancel, terminate or put on hold any previously authorised purchase, the Provider will promptly do so, and the Client will bear any cost that cannot be recovered. (See also section 4.0.)</w:t>
      </w:r>
    </w:p>
    <w:p w14:paraId="54FB766D" w14:textId="5F4E76F6"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0C3E023" w14:textId="376A70C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6.0 Additions and Alterations</w:t>
      </w:r>
    </w:p>
    <w:p w14:paraId="521C07BC" w14:textId="7A7610C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New work requested by the Client and performed by the Provider after this ATP has been approved is an addition or alteration. If the work changes to an extent that substantially alters the original specifications, the Provider will submit a change request specification to the Client, and both parties must agree the revised or additional fee before further work proceeds. (See also section 3.2.)</w:t>
      </w:r>
    </w:p>
    <w:p w14:paraId="154B2A88" w14:textId="3A70F7E6"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3B475E9" w14:textId="51F7F47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7.0 Nature of Content</w:t>
      </w:r>
    </w:p>
    <w:p w14:paraId="67ED531A" w14:textId="4FFB7EF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agrees to exercise due diligence in its direction to the Provider regarding the preparation of content materials, and must be able to substantiate all claims and representations. The Client is responsible for all trademark, service mark, copyright and patent clearances, and for arranging, before publication, any necessary legal clearance of data and materials the Provider will use in the project.</w:t>
      </w:r>
    </w:p>
    <w:p w14:paraId="7C36421A" w14:textId="2D41BB7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003391" w14:textId="48E05EE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8.0 Errors &amp; Omissions</w:t>
      </w:r>
    </w:p>
    <w:p w14:paraId="79469A09" w14:textId="6B4934E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It is the Client’s responsibility to check proofs, designs and other deliverables carefully for accuracy in all respects, from spelling to technical illustrations. The written approval of the Client or its authorised representative is required on all user interface designs, websites and artwork before they are released for implementation or publication.</w:t>
      </w:r>
    </w:p>
    <w:p w14:paraId="1877FF8A" w14:textId="6A02654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564F90" w14:textId="2FA3C95A"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9.0 Property &amp; Suppliers’ Performance</w:t>
      </w:r>
    </w:p>
    <w:p w14:paraId="6296C4C0" w14:textId="599CC88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take all reasonable precautions to safeguard the property the Client entrusts to it, and is responsible for loss, destruction, damage or unauthorised use of that property caused by the Provider’s negligence. The Provider remains responsible for the work of its own staff and subcontractors. Although the Provider will use reasonable efforts to guard against any loss to the Client through the failure of third-party suppliers or others to perform their commitments, the Provider is not responsible for such failures.</w:t>
      </w:r>
    </w:p>
    <w:p w14:paraId="17B8CA43" w14:textId="1BC42962" w:rsidR="00FB3DFF" w:rsidRDefault="00FB3DFF">
      <w:pPr>
        <w:spacing w:line="140" w:lineRule="auto"/>
        <w:jc w:val="both"/>
        <w:rPr>
          <w:rFonts w:ascii="Aptos" w:eastAsia="Aptos" w:hAnsi="Aptos" w:cs="Aptos"/>
          <w:sz w:val="20"/>
          <w:szCs w:val="20"/>
        </w:rPr>
      </w:pPr>
    </w:p>
    <w:p w14:paraId="4D07FE75" w14:textId="26A6E26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selects its own suppliers, other than those recommended by the Provider, the Client may request that the Provider coordinate their work. The Provider will do so where reasonably possible, but is not responsible for their quality, price, performance or delivery.</w:t>
      </w:r>
    </w:p>
    <w:p w14:paraId="365D25D6" w14:textId="671684D2"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02571AD" w14:textId="43AA134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10.0 Confidentiality and Data Protection</w:t>
      </w:r>
    </w:p>
    <w:p w14:paraId="4932DE84" w14:textId="340532D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confirms that it has no other contract or obligation that conflicts with its obligations under this Agreement, and will not disclose to the Client, or induce the Client to use, confidential information belonging to anyone else.</w:t>
      </w:r>
    </w:p>
    <w:p w14:paraId="2E811B12" w14:textId="4C950C1F" w:rsidR="00FB3DFF" w:rsidRDefault="00FB3DFF">
      <w:pPr>
        <w:spacing w:line="140" w:lineRule="auto"/>
        <w:jc w:val="both"/>
        <w:rPr>
          <w:rFonts w:ascii="Aptos" w:eastAsia="Aptos" w:hAnsi="Aptos" w:cs="Aptos"/>
          <w:sz w:val="20"/>
          <w:szCs w:val="20"/>
        </w:rPr>
      </w:pPr>
    </w:p>
    <w:p w14:paraId="7BC1AEE5" w14:textId="4827661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Each party will keep the other party’s Confidential Information confidential, use it only for the purposes of this Agreement, disclose it only to its personnel and subcontractors who need to know it for those purposes, and return or delete it on request, subject to the paragraph below. “Confidential Information” means all non-public information relating to a party’s business that is disclosed in connection with this Agreement, including plans, pricing, customer and supplier information, data, designs and source code. It does not include information that is or becomes publicly available through no fault of the receiving party, that the receiving party already knew, or that it develops independently.</w:t>
      </w:r>
    </w:p>
    <w:p w14:paraId="70690E99" w14:textId="76A691BB" w:rsidR="00FB3DFF" w:rsidRDefault="00FB3DFF">
      <w:pPr>
        <w:spacing w:line="140" w:lineRule="auto"/>
        <w:jc w:val="both"/>
        <w:rPr>
          <w:rFonts w:ascii="Aptos" w:eastAsia="Aptos" w:hAnsi="Aptos" w:cs="Aptos"/>
          <w:sz w:val="20"/>
          <w:szCs w:val="20"/>
        </w:rPr>
      </w:pPr>
    </w:p>
    <w:p w14:paraId="3FBF4E1C" w14:textId="3D4BE2B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 party is not required to delete copies it must keep by law, that exist in routine backups made in the ordinary course of business, or that it reasonably needs in order to provide support to which the Client remains entitled or to deal with a claim. Anything retained remains subject to this section. The Provider may use the general skills, knowledge and experience it gains in performing the Work. This section continues to apply after this Agreement ends.</w:t>
      </w:r>
    </w:p>
    <w:p w14:paraId="7A01BBD6" w14:textId="28E02061" w:rsidR="00FB3DFF" w:rsidRDefault="00FB3DFF">
      <w:pPr>
        <w:spacing w:line="140" w:lineRule="auto"/>
        <w:jc w:val="both"/>
        <w:rPr>
          <w:rFonts w:ascii="Aptos" w:eastAsia="Aptos" w:hAnsi="Aptos" w:cs="Aptos"/>
          <w:sz w:val="20"/>
          <w:szCs w:val="20"/>
        </w:rPr>
      </w:pPr>
    </w:p>
    <w:p w14:paraId="30BF3786" w14:textId="371C604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Where the Provider processes personal data on the Client’s behalf, it will do so only to perform the Work, will take reasonable steps to keep that data secure, consistent with the Personal Data Protection Act, No. 9 of 2022, and will notify the Client promptly of any breach affecting that data and assist the Client to meet its obligations.</w:t>
      </w:r>
    </w:p>
    <w:p w14:paraId="45EFE56E" w14:textId="46B40D1D"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51FC2B9" w14:textId="79FEB64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11.0 Rights of Ownership</w:t>
      </w:r>
    </w:p>
    <w:p w14:paraId="3241276F" w14:textId="264286D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Client’s trade marks, logos, content and data remain the property of the Client at all times. Once the Client has paid all invoices in full, the Provider assigns to the Client all intellectual property rights in the designs, graphics and custom code created specifically for the Client under this Agreement, and consents to the Client using, adapting and publishing them without attribution, so far as the Intellectual Property Act, No. 36 of 2003 permits.</w:t>
      </w:r>
    </w:p>
    <w:p w14:paraId="5968C4D3" w14:textId="56979DCE" w:rsidR="00FB3DFF" w:rsidRDefault="00FB3DFF">
      <w:pPr>
        <w:spacing w:line="140" w:lineRule="auto"/>
        <w:jc w:val="both"/>
        <w:rPr>
          <w:rFonts w:ascii="Aptos" w:eastAsia="Aptos" w:hAnsi="Aptos" w:cs="Aptos"/>
          <w:sz w:val="20"/>
          <w:szCs w:val="20"/>
        </w:rPr>
      </w:pPr>
    </w:p>
    <w:p w14:paraId="330AA260" w14:textId="30A976A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retains ownership of anything it developed before or independently of this Agreement, including its frameworks, code components, tools and templates, and grants the Client a perpetual, non-exclusive licence to use them as part of the </w:t>
      </w:r>
      <w:r>
        <w:rPr>
          <w:rFonts w:ascii="Aptos" w:eastAsia="Aptos" w:hAnsi="Aptos" w:cs="Aptos"/>
          <w:sz w:val="20"/>
          <w:szCs w:val="20"/>
        </w:rPr>
        <w:t xml:space="preserve">{{deliverable}}</w:t>
      </w:r>
      <w:r>
        <w:rPr>
          <w:rFonts w:ascii="Aptos" w:eastAsia="Aptos" w:hAnsi="Aptos" w:cs="Aptos"/>
          <w:sz w:val="20"/>
          <w:szCs w:val="20"/>
        </w:rPr>
        <w:t xml:space="preserve">. Third-party materials, such as </w:t>
      </w:r>
      <w:r>
        <w:rPr>
          <w:rFonts w:ascii="Aptos" w:eastAsia="Aptos" w:hAnsi="Aptos" w:cs="Aptos"/>
          <w:sz w:val="20"/>
          <w:szCs w:val="20"/>
        </w:rPr>
        <w:t xml:space="preserve">{{scope.platform}}</w:t>
      </w:r>
      <w:r>
        <w:rPr>
          <w:rFonts w:ascii="Aptos" w:eastAsia="Aptos" w:hAnsi="Aptos" w:cs="Aptos"/>
          <w:sz w:val="20"/>
          <w:szCs w:val="20"/>
        </w:rPr>
        <w:t xml:space="preserve">, open-source code, stock images, fonts, photography and illustrations licensed from others, remain with their owners and are supplied on their own licence terms.</w:t>
      </w:r>
    </w:p>
    <w:p w14:paraId="13275DA5" w14:textId="42BF6D92" w:rsidR="00FB3DFF" w:rsidRDefault="00FB3DFF">
      <w:pPr>
        <w:spacing w:line="140" w:lineRule="auto"/>
        <w:jc w:val="both"/>
        <w:rPr>
          <w:rFonts w:ascii="Aptos" w:eastAsia="Aptos" w:hAnsi="Aptos" w:cs="Aptos"/>
          <w:sz w:val="20"/>
          <w:szCs w:val="20"/>
        </w:rPr>
      </w:pPr>
    </w:p>
    <w:p w14:paraId="7A6D504B" w14:textId="36BB68E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reproduce and publish work it creates for the Client, including mock-ups, screenshots and presentations, in its portfolio, website, proposals and marketing materials, despite section 10.0, unless the Client asks it in writing not to. The Provider will keep copies of delivered project materials for 90 days after delivery, after which it may discard them, and will delete them sooner if the Client asks.</w:t>
      </w:r>
    </w:p>
    <w:p w14:paraId="4E6AE75C" w14:textId="2AC3EDC6"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4264FEE9" w14:textId="177A9BBA"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12.0 Limitation of Liability</w:t>
      </w:r>
    </w:p>
    <w:p w14:paraId="5641028F" w14:textId="274EA76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Nothing in this Agreement excludes or limits any liability that cannot be excluded or limited under the laws of Sri Lanka.</w:t>
      </w:r>
    </w:p>
    <w:p w14:paraId="5A847910" w14:textId="195A9CF6" w:rsidR="00FB3DFF" w:rsidRDefault="00FB3DFF">
      <w:pPr>
        <w:spacing w:line="140" w:lineRule="auto"/>
        <w:jc w:val="both"/>
        <w:rPr>
          <w:rFonts w:ascii="Aptos" w:eastAsia="Aptos" w:hAnsi="Aptos" w:cs="Aptos"/>
          <w:sz w:val="20"/>
          <w:szCs w:val="20"/>
        </w:rPr>
      </w:pPr>
    </w:p>
    <w:p w14:paraId="42173F3E" w14:textId="440955C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Subject to the paragraph above, neither party is liable to the other for any loss of profit, loss of business opportunity, loss of data or loss of goodwill, or for any indirect, consequential, special or punitive loss or damage, in connection with this Agreement. The Provider’s total liability for all claims in connection with this Agreement, however arising, whether in contract, tort (including negligence), under statute or otherwise, is limited in aggregate to the total fees paid or payable to the Provider under this Agreement.</w:t>
      </w:r>
    </w:p>
    <w:p w14:paraId="777CCA18" w14:textId="2EA7122A" w:rsidR="00FB3DFF" w:rsidRDefault="00FB3DFF">
      <w:pPr>
        <w:spacing w:line="140" w:lineRule="auto"/>
        <w:jc w:val="both"/>
        <w:rPr>
          <w:rFonts w:ascii="Aptos" w:eastAsia="Aptos" w:hAnsi="Aptos" w:cs="Aptos"/>
          <w:sz w:val="20"/>
          <w:szCs w:val="20"/>
        </w:rPr>
      </w:pPr>
    </w:p>
    <w:p w14:paraId="2C9C9F94" w14:textId="44E4F77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will indemnify the Provider against any claim brought against the Provider by a third party arising from content, materials or instructions supplied by the Client, including a claim that they infringe another person’s intellectual property rights or breach any law, except to the extent the claim is caused by the Provider’s own negligence or breach of this Agreement.</w:t>
      </w:r>
    </w:p>
    <w:p w14:paraId="46B42426" w14:textId="3738EC86" w:rsidR="00FB3DFF" w:rsidRDefault="00FB3DFF">
      <w:pPr>
        <w:spacing w:line="140" w:lineRule="auto"/>
        <w:jc w:val="both"/>
        <w:rPr>
          <w:rFonts w:ascii="Aptos" w:eastAsia="Aptos" w:hAnsi="Aptos" w:cs="Aptos"/>
          <w:sz w:val="20"/>
          <w:szCs w:val="20"/>
        </w:rPr>
      </w:pPr>
    </w:p>
    <w:p w14:paraId="6481ADA2" w14:textId="6595561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such a claim is made, the Provider will notify the Client promptly, will not admit or settle it without the Client’s agreement, and will allow the Client to conduct the defence at the Client’s cost, with the Provider’s reasonable assistance.</w:t>
      </w:r>
    </w:p>
    <w:p w14:paraId="447CEEF0" w14:textId="566D2E19"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93D7C91" w14:textId="2BCFA5F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13.0 Term &amp; Termination</w:t>
      </w:r>
    </w:p>
    <w:p w14:paraId="54F65AE8" w14:textId="79F052A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continues until the project is concluded as set out in this ATP, or until it is terminated by either party by written notice under the following conditions:</w:t>
      </w:r>
    </w:p>
    <w:p w14:paraId="68BA6C5D" w14:textId="1C31CAE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13a Breach of Contract</w:t>
      </w:r>
    </w:p>
    <w:p w14:paraId="68ACF57D" w14:textId="7EE29A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materially breaches this Agreement and does not remedy the breach within 14 days of written notice from the Provider, the Provider may terminate the project by written notice and will return all intellectual property originally owned by the Client that is in the Provider’s possession. In that case, the Client has no right or licence to the work, and the Provider may withhold project materials the Client has paid for until all amounts due under this Agreement have been paid.</w:t>
      </w:r>
    </w:p>
    <w:p w14:paraId="24B89D5F" w14:textId="110F6F36" w:rsidR="00FB3DFF" w:rsidRDefault="00FB3DFF">
      <w:pPr>
        <w:spacing w:line="140" w:lineRule="auto"/>
        <w:jc w:val="both"/>
        <w:rPr>
          <w:rFonts w:ascii="Aptos" w:eastAsia="Aptos" w:hAnsi="Aptos" w:cs="Aptos"/>
          <w:sz w:val="20"/>
          <w:szCs w:val="20"/>
        </w:rPr>
      </w:pPr>
    </w:p>
    <w:p w14:paraId="35B286F3" w14:textId="4481A18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Provider materially breaches this Agreement and does not remedy the breach within 14 days of written notice from the Client, the Client may terminate the project by written notice. The Provider will then deliver to the Client all property and project materials in its possession for which the Client has paid, and all intellectual property originally owned by the Client, and the Client has the rights set out in section 11.0 in the work it has paid for. If the Client has paid for work not yet performed, the Provider will refund the difference.</w:t>
      </w:r>
    </w:p>
    <w:p w14:paraId="6944ACCA" w14:textId="788275B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13b Dissatisfaction</w:t>
      </w:r>
    </w:p>
    <w:p w14:paraId="115E9AB6" w14:textId="79CFD5A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is dissatisfied with the quality of the Provider’s work, the Client will inform the Provider and allow it a reasonable opportunity to remedy the issue. If the Client remains dissatisfied after that, the Client may terminate the project, in which case the Client has no right or licence to the work.</w:t>
      </w:r>
    </w:p>
    <w:p w14:paraId="7C7AE806" w14:textId="248EDB7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13c Termination Without Just Cause</w:t>
      </w:r>
    </w:p>
    <w:p w14:paraId="2A6352E7" w14:textId="7BFD5E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Provider cancels the project other than for the Client’s breach, the Provider will deliver to the Client all work the Client has paid for, and will refund the first payment as set out in section 4.0 together with any payment for work not yet performed.</w:t>
      </w:r>
    </w:p>
    <w:p w14:paraId="7A64E237" w14:textId="332EAF6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13d Cancellation by the Client</w:t>
      </w:r>
    </w:p>
    <w:p w14:paraId="2C31AB49" w14:textId="7C17644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may cancel the project at any time by written notice. The Client will then pay for all work performed and costs committed up to the date of cancellation. If the Client has already paid more than that, the Provider will refund the difference, but retains the first payment under section 4.0 in any case. The Provider will deliver to the Client the work it has paid for, and all intellectual property originally owned by the Client.</w:t>
      </w:r>
    </w:p>
    <w:p w14:paraId="7B0489E9" w14:textId="17C745CF"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D4388D7" w14:textId="142E142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14.0 Lien</w:t>
      </w:r>
    </w:p>
    <w:p w14:paraId="2F7697E7" w14:textId="6233D8D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retain any work performed for the Client that the Client has not paid for, as security, until all amounts due from the Client have been paid.</w:t>
      </w:r>
    </w:p>
    <w:p w14:paraId="154DD173" w14:textId="560476D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DD24D1" w14:textId="72B8567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15.0 Production Schedules</w:t>
      </w:r>
    </w:p>
    <w:p w14:paraId="663E5837" w14:textId="3A20CB8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Production schedules will be established and adhered to by both the Client and the Provider, provided that neither shall incur any liability, penalty or additional cost due to delays caused by war, riot, civil disorder, fire, labour disputes or strikes, accidents, energy failure, equipment breakdown, delays in shipment by suppliers or carriers, action of government or civil authority, acts of God, or other causes beyond the control of the Client or the Provider. Where production schedules are not adhered to by the Client, the final delivery date or dates will be adjusted accordingly.</w:t>
      </w:r>
    </w:p>
    <w:p w14:paraId="3CFEBA33" w14:textId="1F582D04" w:rsidR="00FB3DFF" w:rsidRDefault="00FB3DFF">
      <w:pPr>
        <w:spacing w:line="140" w:lineRule="auto"/>
        <w:jc w:val="both"/>
        <w:rPr>
          <w:rFonts w:ascii="Aptos" w:eastAsia="Aptos" w:hAnsi="Aptos" w:cs="Aptos"/>
          <w:sz w:val="20"/>
          <w:szCs w:val="20"/>
        </w:rPr>
      </w:pPr>
    </w:p>
    <w:p w14:paraId="3C4ACCB8" w14:textId="6CBD61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such an event prevents the performance of this Agreement for more than 30 consecutive days, either party may terminate this Agreement by written notice. Section 13.0 then applies to amounts due and work delivered, and neither party owes the other anything further because of the termination itself.</w:t>
      </w:r>
    </w:p>
    <w:p w14:paraId="61E84EE4" w14:textId="6DF1F56E" w:rsidR="00FB3DFF" w:rsidRDefault="00FB3DFF">
      <w:pPr>
        <w:spacing w:line="140" w:lineRule="auto"/>
        <w:jc w:val="both"/>
        <w:rPr>
          <w:rFonts w:ascii="Aptos" w:eastAsia="Aptos" w:hAnsi="Aptos" w:cs="Aptos"/>
          <w:sz w:val="20"/>
          <w:szCs w:val="20"/>
        </w:rPr>
      </w:pPr>
    </w:p>
    <w:p w14:paraId="7CCC2F5D" w14:textId="419F981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allocates its resources to meet the Client’s project needs according to schedule, as it works on several projects at any given time. The Client must therefore be available to provide approvals, feedback, content and anything else set out in this ATP, and must otherwise maintain contact with the Provider throughout the project timeline.</w:t>
      </w:r>
    </w:p>
    <w:p w14:paraId="7A4D9AAF" w14:textId="7B38E1BF" w:rsidR="00FB3DFF" w:rsidRDefault="00FB3DFF">
      <w:pPr>
        <w:spacing w:line="140" w:lineRule="auto"/>
        <w:jc w:val="both"/>
        <w:rPr>
          <w:rFonts w:ascii="Aptos" w:eastAsia="Aptos" w:hAnsi="Aptos" w:cs="Aptos"/>
          <w:sz w:val="20"/>
          <w:szCs w:val="20"/>
        </w:rPr>
      </w:pPr>
    </w:p>
    <w:p w14:paraId="6DC16C87" w14:textId="50B37DF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fails to deliver necessary content, resources or feedback by the time the Provider considers crucial to a deadline, all deadlines and milestones (except payment milestones) will be adjusted accordingly.</w:t>
      </w:r>
    </w:p>
    <w:p w14:paraId="4D693D77" w14:textId="6D6A60AF" w:rsidR="00FB3DFF" w:rsidRDefault="00FB3DFF">
      <w:pPr>
        <w:spacing w:line="140" w:lineRule="auto"/>
        <w:jc w:val="both"/>
        <w:rPr>
          <w:rFonts w:ascii="Aptos" w:eastAsia="Aptos" w:hAnsi="Aptos" w:cs="Aptos"/>
          <w:sz w:val="20"/>
          <w:szCs w:val="20"/>
        </w:rPr>
      </w:pPr>
    </w:p>
    <w:p w14:paraId="29B27DF6" w14:textId="59D9029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fails to meet a timeline, milestone or content obligation for 7 days or more, the Provider may reallocate its resources, and work on the project may be delayed or may cease. Resuming work will require a reassembly period that may equal the delay caused by the Client. Adjustments to deadlines or milestones caused by the Client do not affect payment milestones, which remain due at the times set out in this ATP, other than the final payment, which is due on acceptance under section 3.4.</w:t>
      </w:r>
    </w:p>
    <w:p w14:paraId="1A3E5592" w14:textId="432D38E2" w:rsidR="00FB3DFF" w:rsidRDefault="00FB3DFF">
      <w:pPr>
        <w:spacing w:line="140" w:lineRule="auto"/>
        <w:jc w:val="both"/>
        <w:rPr>
          <w:rFonts w:ascii="Aptos" w:eastAsia="Aptos" w:hAnsi="Aptos" w:cs="Aptos"/>
          <w:sz w:val="20"/>
          <w:szCs w:val="20"/>
        </w:rPr>
      </w:pPr>
    </w:p>
    <w:p w14:paraId="73D7ADFC" w14:textId="5909CC4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is inactive or unresponsive for more than 30 days, the project is considered abandoned and the Client is considered to have cancelled it under section 13d. The Provider may then cease work on the project, the Client has no right or licence to work it has not paid for, and the Provider has no obligation to resume the project. (See also section 3.3.)</w:t>
      </w:r>
    </w:p>
    <w:p w14:paraId="5E1539C1" w14:textId="5F6B5D3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EC9A59" w14:textId="2CB6FDC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16.0 Approvals</w:t>
      </w:r>
    </w:p>
    <w:p w14:paraId="265F6D10" w14:textId="7AFBD8A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acknowledges and agrees that, regardless of the number of individuals involved in the project, one individual in its team will be appointed with ultimate responsibility for approving the deliverables the Provider creates and presents. That individual must be directly involved throughout the project and must take part in significant events, including the initial discovery meetings, initial design presentations and any planning meetings.</w:t>
      </w:r>
    </w:p>
    <w:p w14:paraId="2AD3A707" w14:textId="277F2B82" w:rsidR="00FB3DFF" w:rsidRDefault="00FB3DFF">
      <w:pPr>
        <w:spacing w:line="140" w:lineRule="auto"/>
        <w:jc w:val="both"/>
        <w:rPr>
          <w:rFonts w:ascii="Aptos" w:eastAsia="Aptos" w:hAnsi="Aptos" w:cs="Aptos"/>
          <w:sz w:val="20"/>
          <w:szCs w:val="20"/>
        </w:rPr>
      </w:pPr>
    </w:p>
    <w:p w14:paraId="724EB233" w14:textId="6309560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deliverables are made available to the Client for approval and the Client does not approve or reject them within 5 business days, the Provider will send a reminder. If the Client has still not responded 3 business days after that reminder, the deliverables are deemed approved.</w:t>
      </w:r>
    </w:p>
    <w:p w14:paraId="218042ED" w14:textId="46E0266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BA06C4A" w14:textId="4930AC4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17.0 Additional Provisions</w:t>
      </w:r>
    </w:p>
    <w:p w14:paraId="4FE6DC64" w14:textId="4589D27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validity, enforceability and interpretation of this Agreement are governed by the laws of the Democratic Socialist Republic of Sri Lanka as applicable to agreements entered into and performed in Sri Lanka.</w:t>
      </w:r>
    </w:p>
    <w:p w14:paraId="70927CBB" w14:textId="55CC0753" w:rsidR="00FB3DFF" w:rsidRDefault="00FB3DFF">
      <w:pPr>
        <w:spacing w:line="140" w:lineRule="auto"/>
        <w:jc w:val="both"/>
        <w:rPr>
          <w:rFonts w:ascii="Aptos" w:eastAsia="Aptos" w:hAnsi="Aptos" w:cs="Aptos"/>
          <w:sz w:val="20"/>
          <w:szCs w:val="20"/>
        </w:rPr>
      </w:pPr>
    </w:p>
    <w:p w14:paraId="40C53D41" w14:textId="63B550C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together with any addendum executed by both parties, is the entire agreement between the parties and supersedes all prior proposals, quotations and communications, including the Provider’s proposal </w:t>
      </w:r>
      <w:r>
        <w:rPr>
          <w:rFonts w:ascii="Aptos" w:eastAsia="Aptos" w:hAnsi="Aptos" w:cs="Aptos"/>
          <w:sz w:val="20"/>
          <w:szCs w:val="20"/>
        </w:rPr>
        <w:t xml:space="preserve">{{proposal.ref}}</w:t>
      </w:r>
      <w:r>
        <w:rPr>
          <w:rFonts w:ascii="Aptos" w:eastAsia="Aptos" w:hAnsi="Aptos" w:cs="Aptos"/>
          <w:sz w:val="20"/>
          <w:szCs w:val="20"/>
        </w:rPr>
        <w:t xml:space="preserve">. It may be modified only by an addendum executed by both parties. If any provision of this Agreement is found to be illegal or unenforceable, the remaining provisions are not affected.</w:t>
      </w:r>
    </w:p>
    <w:p w14:paraId="6E54C03F" w14:textId="279C01B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829E479" w14:textId="3EE888AD"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18.0 Dispute Resolution</w:t>
      </w:r>
    </w:p>
    <w:p w14:paraId="24B07DE2" w14:textId="1F4E86D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dispute arises out of or in connection with this Agreement and the parties do not resolve it through discussion, the following applies:</w:t>
      </w:r>
    </w:p>
    <w:p w14:paraId="5E8B54C6" w14:textId="37AFB2C1" w:rsidR="00FB3DFF" w:rsidRDefault="00FB3DFF">
      <w:pPr>
        <w:spacing w:line="140" w:lineRule="auto"/>
        <w:jc w:val="both"/>
        <w:rPr>
          <w:rFonts w:ascii="Aptos" w:eastAsia="Aptos" w:hAnsi="Aptos" w:cs="Aptos"/>
          <w:sz w:val="20"/>
          <w:szCs w:val="20"/>
        </w:rPr>
      </w:pPr>
    </w:p>
    <w:p w14:paraId="6D0E38CA" w14:textId="781DA6D2"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18.1 </w:t>
      </w:r>
      <w:r>
        <w:rPr>
          <w:rFonts w:ascii="Aptos" w:eastAsia="Aptos" w:hAnsi="Aptos" w:cs="Aptos"/>
          <w:sz w:val="20"/>
          <w:szCs w:val="20"/>
        </w:rPr>
        <w:t xml:space="preserve">Either party may give the other written notice requesting negotiation. The notice shall be given promptly, to prevent further damage resulting from delay, and shall specify the issues in dispute.</w:t>
      </w:r>
    </w:p>
    <w:p w14:paraId="486246E7" w14:textId="563FFA6B" w:rsidR="00FB3DFF" w:rsidRDefault="00FB3DFF">
      <w:pPr>
        <w:spacing w:line="140" w:lineRule="auto"/>
        <w:jc w:val="both"/>
        <w:rPr>
          <w:rFonts w:ascii="Aptos" w:eastAsia="Aptos" w:hAnsi="Aptos" w:cs="Aptos"/>
          <w:sz w:val="20"/>
          <w:szCs w:val="20"/>
        </w:rPr>
      </w:pPr>
    </w:p>
    <w:p w14:paraId="2FBDF290" w14:textId="4857E525"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18.2 </w:t>
      </w:r>
      <w:r>
        <w:rPr>
          <w:rFonts w:ascii="Aptos" w:eastAsia="Aptos" w:hAnsi="Aptos" w:cs="Aptos"/>
          <w:sz w:val="20"/>
          <w:szCs w:val="20"/>
        </w:rPr>
        <w:t xml:space="preserve">Negotiations shall take place first between representatives of the Client and the Provider.</w:t>
      </w:r>
    </w:p>
    <w:p w14:paraId="27D5D0B6" w14:textId="20690686" w:rsidR="00FB3DFF" w:rsidRDefault="00FB3DFF">
      <w:pPr>
        <w:spacing w:line="140" w:lineRule="auto"/>
        <w:jc w:val="both"/>
        <w:rPr>
          <w:rFonts w:ascii="Aptos" w:eastAsia="Aptos" w:hAnsi="Aptos" w:cs="Aptos"/>
          <w:sz w:val="20"/>
          <w:szCs w:val="20"/>
        </w:rPr>
      </w:pPr>
    </w:p>
    <w:p w14:paraId="17732BB1" w14:textId="450E0621"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18.3 </w:t>
      </w:r>
      <w:r>
        <w:rPr>
          <w:rFonts w:ascii="Aptos" w:eastAsia="Aptos" w:hAnsi="Aptos" w:cs="Aptos"/>
          <w:sz w:val="20"/>
          <w:szCs w:val="20"/>
        </w:rPr>
        <w:t xml:space="preserve">All information exchanged during these negotiations shall be regarded as “without prejudice” communications for the purpose of settlement negotiations and shall be treated as confidential by the parties and their representatives, unless otherwise required by law. However, evidence that is independently admissible or discoverable shall not be rendered inadmissible or non-discoverable by virtue of its use during the negotiations.</w:t>
      </w:r>
    </w:p>
    <w:p w14:paraId="6FD56B6E" w14:textId="385204EB" w:rsidR="00FB3DFF" w:rsidRDefault="00FB3DFF">
      <w:pPr>
        <w:spacing w:line="140" w:lineRule="auto"/>
        <w:jc w:val="both"/>
        <w:rPr>
          <w:rFonts w:ascii="Aptos" w:eastAsia="Aptos" w:hAnsi="Aptos" w:cs="Aptos"/>
          <w:sz w:val="20"/>
          <w:szCs w:val="20"/>
        </w:rPr>
      </w:pPr>
    </w:p>
    <w:p w14:paraId="664C5716" w14:textId="68974635"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18.4 </w:t>
      </w:r>
      <w:r>
        <w:rPr>
          <w:rFonts w:ascii="Aptos" w:eastAsia="Aptos" w:hAnsi="Aptos" w:cs="Aptos"/>
          <w:sz w:val="20"/>
          <w:szCs w:val="20"/>
        </w:rPr>
        <w:t xml:space="preserve">If the parties do not resolve some or all of the issues in dispute through negotiations within 60 days after notice has been given, the parties shall attempt to resolve the dispute through mediation in Colombo, before a mediator agreed by the parties or, failing agreement within 14 days, a mediator appointed by </w:t>
      </w:r>
      <w:r>
        <w:rPr>
          <w:rFonts w:ascii="Aptos" w:eastAsia="Aptos" w:hAnsi="Aptos" w:cs="Aptos"/>
          <w:sz w:val="20"/>
          <w:szCs w:val="20"/>
        </w:rPr>
        <w:t>the CCC-ICLP International ADR Center, Colombo</w:t>
      </w:r>
      <w:r>
        <w:rPr>
          <w:rFonts w:ascii="Aptos" w:eastAsia="Aptos" w:hAnsi="Aptos" w:cs="Aptos"/>
          <w:sz w:val="20"/>
          <w:szCs w:val="20"/>
        </w:rPr>
        <w:t xml:space="preserve">, with the mediator’s fees shared equally. If the dispute is not resolved within 60 days of the mediator’s appointment, either party may refer it to the courts of Colombo.</w:t>
      </w:r>
    </w:p>
    <w:p w14:paraId="73EAE4AD" w14:textId="2BD4B646" w:rsidR="00FB3DFF" w:rsidRDefault="00FB3DFF">
      <w:pPr>
        <w:spacing w:line="140" w:lineRule="auto"/>
        <w:jc w:val="both"/>
        <w:rPr>
          <w:rFonts w:ascii="Aptos" w:eastAsia="Aptos" w:hAnsi="Aptos" w:cs="Aptos"/>
          <w:sz w:val="20"/>
          <w:szCs w:val="20"/>
        </w:rPr>
      </w:pPr>
    </w:p>
    <w:p w14:paraId="53CC350C" w14:textId="52A72E73" w:rsidR="00FB3DFF" w:rsidRDefault="00000000">
      <w:pPr>
        <w:keepNext/>
        <w:pageBreakBefore/>
        <w:spacing w:line="280" w:lineRule="auto"/>
        <w:jc w:val="both"/>
        <w:rPr>
          <w:rFonts w:ascii="Aptos" w:eastAsia="Aptos" w:hAnsi="Aptos" w:cs="Aptos"/>
          <w:sz w:val="20"/>
          <w:szCs w:val="20"/>
        </w:rPr>
      </w:pPr>
      <w:r>
        <w:rPr>
          <w:rFonts w:ascii="Aptos" w:eastAsia="Aptos" w:hAnsi="Aptos" w:cs="Aptos"/>
          <w:sz w:val="20"/>
          <w:szCs w:val="20"/>
        </w:rPr>
        <w:t xml:space="preserve">The Provider and the Client agree to the responsibilities and estimates described in this Authorization to Proceed and Terms. The Client agrees to pay the fees set out in this document and authorises the Provider to proceed with the work described in it, based on the time estimates provided.</w:t>
      </w:r>
    </w:p>
    <w:p w14:paraId="27BCCA8E" w14:textId="1E72F7B6" w:rsidR="00FB3DFF" w:rsidRDefault="00FB3DFF">
      <w:pPr>
        <w:keepNext/>
        <w:spacing w:line="14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6DD2C9B7" w14:textId="5DD1F67A"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{{client.legal_name}}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5EB90D9B" w14:textId="55249579"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AD31BDE" w14:textId="6BB73E3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6454F129" w14:textId="67367F44"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905F577" w14:textId="71BA71E6"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14B8E919" w14:textId="436B9B44" w:rsidR="00FB3DFF" w:rsidRDefault="00000000">
            <w:pPr>
              <w:keepNext/>
              <w:rPr>
                <w:rFonts w:ascii="Aptos" w:eastAsia="Aptos" w:hAnsi="Aptos" w:cs="Aptos"/>
                <w:sz w:val="20"/>
                <w:szCs w:val="20"/>
              </w:rPr>
            </w:pP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80ED4E8" w14:textId="49481F9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313D288C" w14:textId="3AD368FF"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445166F" w14:textId="4C24C211"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19F94627" w14:textId="6A5602E2" w:rsidR="00FB3DFF" w:rsidRDefault="00000000">
            <w:pPr>
              <w:keepNext/>
              <w:rPr>
                <w:rFonts w:ascii="Aptos" w:eastAsia="Aptos" w:hAnsi="Aptos" w:cs="Aptos"/>
                <w:sz w:val="20"/>
                <w:szCs w:val="20"/>
              </w:rPr>
            </w:pP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86305FD" w14:textId="15E50519"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29FF4747" w14:textId="4C7123E5"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8966D5" w14:textId="106F7262"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A05464E" w14:textId="54D16A34"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6BD8F26" w14:textId="1FD67DBF"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2760A2B9" w14:textId="1195682D"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2D80D52C" w14:textId="38F1A044"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CAE7C81" w14:textId="1A0A0337" w:rsidR="00FB3DFF" w:rsidRDefault="000D6ECE">
            <w:pPr>
              <w:keepNext w:val="0"/>
              <w:jc w:val="both"/>
              <w:rPr>
                <w:rFonts w:ascii="Aptos" w:eastAsia="Aptos" w:hAnsi="Aptos" w:cs="Aptos"/>
                <w:sz w:val="20"/>
                <w:szCs w:val="20"/>
              </w:rPr>
            </w:pPr>
          </w:p>
        </w:tc>
      </w:tr>
      <w:tr w:rsidR="00FB3DFF" w14:paraId="56A44751" w14:textId="77777777">
        <w:trPr>
          <w:trHeight w:val="400"/>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A146CF7" w14:textId="4D37029E"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Witness 1</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C37A7F9" w14:textId="2CB2EE7E"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Witness 2</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250B86D" w14:textId="16068DEA"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173402CD" w14:textId="5C06B860"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C19B038" w14:textId="10E2C8EB"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3ABA6E5C" w14:textId="2F0CDD39" w:rsidR="00FB3DFF" w:rsidRDefault="00000000">
            <w:pPr>
              <w:keepNext/>
              <w:rPr>
                <w:rFonts w:ascii="Aptos" w:eastAsia="Aptos" w:hAnsi="Aptos" w:cs="Aptos"/>
                <w:sz w:val="20"/>
                <w:szCs w:val="20"/>
              </w:rPr>
            </w:pP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F4065F" w14:textId="4BEC3264"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694374C" w14:textId="79115290"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1165E23" w14:textId="1F9C0E15"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7FBB723C" w14:textId="618BB2E5"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362BFD" w14:textId="772B2593"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35FF678F" w14:textId="5D8B4143"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3BC74F" w14:textId="4438F361"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78BCE29" w14:textId="6EABD304" w:rsidR="00FB3DFF" w:rsidRDefault="000D6ECE">
            <w:pPr>
              <w:keepNext w:val="0"/>
              <w:jc w:val="both"/>
              <w:rPr>
                <w:rFonts w:ascii="Aptos" w:eastAsia="Aptos" w:hAnsi="Aptos" w:cs="Aptos"/>
                <w:sz w:val="20"/>
                <w:szCs w:val="20"/>
              </w:rPr>
            </w:pPr>
          </w:p>
        </w:tc>
      </w:tr>
    </w:tbl>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{{provider.address}} | {{provider.phone}} | {{provider.email}}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dc:title>ATP and Terms – Sri Lanka website template</dc:title>
</cp:coreProperties>
</file>