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F3DE02" w14:textId="13D2EAED" w:rsidR="00FB3DFF" w:rsidRDefault="00000000">
      <w:pPr>
        <w:jc w:val="both"/>
        <w:rPr>
          <w:rFonts w:ascii="Aptos" w:eastAsia="Aptos" w:hAnsi="Aptos" w:cs="Aptos"/>
        </w:rPr>
      </w:pPr>
      <w:r>
        <w:rPr>
          <w:rFonts w:ascii="Aptos" w:hAnsi="Aptos" w:cs="Aptos" w:eastAsia="Aptos"/>
          <w:noProof/>
        </w:rPr>
        <w:drawing>
          <wp:anchor distT="0" distB="0" distL="0" distR="0" simplePos="0" relativeHeight="251658240" behindDoc="1" locked="0" layoutInCell="1" hidden="0" allowOverlap="1" wp14:anchorId="7A6ADE0B" wp14:editId="70D54FCB">
            <wp:simplePos x="0" y="0"/>
            <wp:positionH relativeFrom="column">
              <wp:posOffset>0</wp:posOffset>
            </wp:positionH>
            <wp:positionV relativeFrom="paragraph">
              <wp:posOffset>0</wp:posOffset>
            </wp:positionV>
            <wp:extent cx="1128713" cy="4667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28713" cy="466725"/>
                    </a:xfrm>
                    <a:prstGeom prst="rect">
                      <a:avLst/>
                    </a:prstGeom>
                    <a:ln/>
                  </pic:spPr>
                </pic:pic>
              </a:graphicData>
            </a:graphic>
          </wp:anchor>
        </w:drawing>
      </w:r>
    </w:p>
    <w:p w14:paraId="4F28FD2A" w14:textId="43DDC3E3" w:rsidR="00FB3DFF" w:rsidRDefault="00FB3DFF">
      <w:pPr>
        <w:jc w:val="both"/>
        <w:rPr>
          <w:rFonts w:ascii="Aptos" w:eastAsia="Aptos" w:hAnsi="Aptos" w:cs="Aptos"/>
          <w:sz w:val="20"/>
          <w:szCs w:val="20"/>
        </w:rPr>
      </w:pPr>
    </w:p>
    <w:p w14:paraId="315FF014" w14:textId="608E279E" w:rsidR="00FB3DFF" w:rsidRDefault="00FB3DFF">
      <w:pPr>
        <w:jc w:val="both"/>
        <w:rPr>
          <w:rFonts w:ascii="Aptos" w:eastAsia="Aptos" w:hAnsi="Aptos" w:cs="Aptos"/>
          <w:sz w:val="20"/>
          <w:szCs w:val="20"/>
        </w:rPr>
      </w:pPr>
    </w:p>
    <w:p w14:paraId="38F81DB9" w14:textId="56BE45A2" w:rsidR="00FB3DFF" w:rsidRDefault="00FB3DFF">
      <w:pPr>
        <w:jc w:val="both"/>
        <w:rPr>
          <w:rFonts w:ascii="Aptos" w:eastAsia="Aptos" w:hAnsi="Aptos" w:cs="Aptos"/>
          <w:sz w:val="20"/>
          <w:szCs w:val="20"/>
        </w:rPr>
      </w:pPr>
    </w:p>
    <w:p w14:paraId="51259E6F" w14:textId="7A576BB7" w:rsidR="00FB3DFF" w:rsidRDefault="00FB3DFF">
      <w:pPr>
        <w:spacing w:line="200" w:lineRule="auto"/>
        <w:jc w:val="both"/>
        <w:rPr>
          <w:rFonts w:ascii="Aptos" w:eastAsia="Aptos" w:hAnsi="Aptos" w:cs="Aptos"/>
          <w:sz w:val="20"/>
          <w:szCs w:val="20"/>
        </w:rPr>
      </w:pPr>
    </w:p>
    <w:tbl>
      <w:tblPr>
        <w:tblStyle w:val="a"/>
        <w:tblW w:w="861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196"/>
        <w:gridCol w:w="1688"/>
        <w:gridCol w:w="5726"/>
      </w:tblGrid>
      <w:tr w:rsidR="00FB3DFF" w14:paraId="1FA0623D" w14:textId="7E9F32E8">
        <w:trPr>
          <w:trHeight w:val="377"/>
          <w:tblHeader/>
        </w:trPr>
        <w:tc>
          <w:tcPr>
            <w:tcW w:w="2884" w:type="dxa"/>
            <w:gridSpan w:val="2"/>
            <w:shd w:val="clear" w:color="auto" w:fill="F2F2F2"/>
            <w:vAlign w:val="center"/>
            <w:tcBorders>
              <w:top w:val="outset" w:sz="6" w:space="0" w:color="D9D9D9"/>
              <w:left w:val="outset" w:sz="6" w:space="0" w:color="D9D9D9"/>
              <w:bottom w:val="outset" w:sz="6" w:space="0" w:color="D9D9D9"/>
              <w:right w:val="outset" w:sz="6" w:space="0" w:color="D9D9D9"/>
            </w:tcBorders>
          </w:tcPr>
          <w:p w14:paraId="23A15E32" w14:textId="7AB313F8"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ATP</w:t>
            </w:r>
          </w:p>
        </w:tc>
        <w:tc>
          <w:tcPr>
            <w:tcW w:w="5726"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E434B45" w14:textId="48298CCE" w:rsidR="00FB3DFF" w:rsidRDefault="00000000">
            <w:pPr>
              <w:jc w:val="both"/>
              <w:rPr>
                <w:rFonts w:ascii="Aptos" w:eastAsia="Aptos" w:hAnsi="Aptos" w:cs="Aptos"/>
                <w:b/>
                <w:bCs/>
                <w:sz w:val="20"/>
                <w:szCs w:val="20"/>
              </w:rPr>
            </w:pPr>
            <w:r>
              <w:rPr>
                <w:rFonts w:ascii="Aptos" w:eastAsia="Aptos" w:hAnsi="Aptos" w:cs="Aptos"/>
                <w:b/>
                <w:bCs/>
                <w:sz w:val="20"/>
                <w:szCs w:val="20"/>
              </w:rPr>
              <w:t>AUTHORIZATION TO PROCEED AND TERMS</w:t>
            </w:r>
          </w:p>
        </w:tc>
      </w:tr>
      <w:tr w:rsidR="00FB3DFF" w14:paraId="48D9E745" w14:textId="395A5F5C">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1EBBE712" w14:textId="29F0B0D0"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To:</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3EFD6005" w14:textId="7F6780A1" w:rsidR="00FB3DFF" w:rsidRDefault="00D03B17">
            <w:pPr>
              <w:jc w:val="both"/>
              <w:rPr>
                <w:rFonts w:ascii="Aptos" w:eastAsia="Aptos" w:hAnsi="Aptos" w:cs="Aptos"/>
                <w:sz w:val="20"/>
                <w:szCs w:val="20"/>
              </w:rPr>
            </w:pPr>
            <w:r w:rsidRPr="00D03B17">
              <w:rPr>
                <w:rFonts w:ascii="Aptos" w:eastAsia="Aptos" w:hAnsi="Aptos" w:cs="Aptos"/>
                <w:sz w:val="20"/>
                <w:szCs w:val="20"/>
              </w:rPr>
              <w:t>{{client.contact_name}} – {{client.short_name}}</w:t>
            </w:r>
            <w:r>
              <w:rPr>
                <w:rFonts w:ascii="Aptos" w:eastAsia="Aptos" w:hAnsi="Aptos" w:cs="Aptos"/>
                <w:sz w:val="20"/>
                <w:szCs w:val="20"/>
              </w:rPr>
            </w:r>
          </w:p>
        </w:tc>
      </w:tr>
      <w:tr w:rsidR="00FB3DFF" w14:paraId="6C7D0503" w14:textId="7A75BACE">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3A504C9F" w14:textId="47C59309"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Ref:</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65EA22C1" w14:textId="7A86C30F" w:rsidR="00FB3DFF" w:rsidRDefault="00000000">
            <w:pPr>
              <w:jc w:val="both"/>
              <w:rPr>
                <w:rFonts w:ascii="Aptos" w:eastAsia="Aptos" w:hAnsi="Aptos" w:cs="Aptos"/>
                <w:sz w:val="20"/>
                <w:szCs w:val="20"/>
              </w:rPr>
            </w:pPr>
            <w:r>
              <w:rPr>
                <w:rFonts w:ascii="Aptos" w:eastAsia="Aptos" w:hAnsi="Aptos" w:cs="Aptos"/>
                <w:sz w:val="20"/>
                <w:szCs w:val="20"/>
              </w:rPr>
              <w:t>{{atp.ref}}</w:t>
            </w:r>
          </w:p>
        </w:tc>
      </w:tr>
      <w:tr w:rsidR="00FB3DFF" w14:paraId="3FD0B080" w14:textId="490BD51D">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5E5731CB" w14:textId="3D87D704"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Subject:</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726F8136" w14:textId="74C78075" w:rsidR="00FB3DFF" w:rsidRDefault="00000000">
            <w:pPr>
              <w:jc w:val="both"/>
              <w:rPr>
                <w:rFonts w:ascii="Aptos" w:eastAsia="Aptos" w:hAnsi="Aptos" w:cs="Aptos"/>
                <w:sz w:val="20"/>
                <w:szCs w:val="20"/>
              </w:rPr>
            </w:pPr>
            <w:r>
              <w:rPr>
                <w:rFonts w:ascii="Aptos" w:eastAsia="Aptos" w:hAnsi="Aptos" w:cs="Aptos"/>
                <w:sz w:val="20"/>
                <w:szCs w:val="20"/>
              </w:rPr>
              <w:t>{{atp.subject}}</w:t>
            </w:r>
          </w:p>
        </w:tc>
      </w:tr>
      <w:tr w:rsidR="00FB3DFF" w14:paraId="6D76D484" w14:textId="3E90BB82">
        <w:trPr>
          <w:trHeight w:val="420"/>
        </w:trPr>
        <w:tc>
          <w:tcPr>
            <w:tcW w:w="2884"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74599BE6" w14:textId="597A02E6"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Date: {{atp.date}}</w:t>
            </w:r>
            <w:r w:rsidR="00676E66">
              <w:rPr>
                <w:rFonts w:ascii="Aptos" w:eastAsia="Aptos" w:hAnsi="Aptos" w:cs="Aptos"/>
                <w:b/>
                <w:bCs/>
                <w:color w:val="FFFFFF"/>
                <w:sz w:val="20"/>
                <w:szCs w:val="20"/>
              </w:rPr>
            </w:r>
            <w:r>
              <w:rPr>
                <w:rFonts w:ascii="Aptos" w:eastAsia="Aptos" w:hAnsi="Aptos" w:cs="Aptos"/>
                <w:b/>
                <w:bCs/>
                <w:color w:val="FFFFFF"/>
                <w:sz w:val="20"/>
                <w:szCs w:val="20"/>
              </w:rPr>
            </w:r>
          </w:p>
        </w:tc>
        <w:tc>
          <w:tcPr>
            <w:tcW w:w="5726"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EAA4E15" w14:textId="2AA8EC54"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{{provider.legal_name}} / {{client.short_name}}</w:t>
            </w:r>
          </w:p>
        </w:tc>
      </w:tr>
    </w:tbl>
    <w:p w14:paraId="6751ADDF" w14:textId="11C2ED41" w:rsidR="00FB3DFF" w:rsidRDefault="00FB3DFF">
      <w:pPr>
        <w:spacing w:line="400" w:lineRule="auto"/>
        <w:jc w:val="both"/>
        <w:rPr>
          <w:rFonts w:ascii="Aptos" w:eastAsia="Aptos" w:hAnsi="Aptos" w:cs="Aptos"/>
          <w:sz w:val="20"/>
          <w:szCs w:val="20"/>
        </w:rPr>
      </w:pPr>
    </w:p>
    <w:p w14:paraId="59214DA5" w14:textId="5537F8A2"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1.0 Overview and General Working Agreement</w:t>
      </w:r>
    </w:p>
    <w:p w14:paraId="2304F809" w14:textId="2792B71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This is an Authorization to Proceed (ATP) and Terms for services to be provided by </w:t>
      </w:r>
      <w:r>
        <w:rPr>
          <w:rFonts w:ascii="Aptos" w:eastAsia="Aptos" w:hAnsi="Aptos" w:cs="Aptos"/>
          <w:sz w:val="20"/>
          <w:szCs w:val="20"/>
        </w:rPr>
        <w:t xml:space="preserve">{{provider.legal_name}}</w:t>
      </w:r>
      <w:r>
        <w:rPr>
          <w:rFonts w:ascii="Aptos" w:eastAsia="Aptos" w:hAnsi="Aptos" w:cs="Aptos"/>
          <w:sz w:val="20"/>
          <w:szCs w:val="20"/>
        </w:rPr>
        <w:t xml:space="preserve">, company registration number </w:t>
      </w:r>
      <w:r>
        <w:rPr>
          <w:rFonts w:ascii="Aptos" w:eastAsia="Aptos" w:hAnsi="Aptos" w:cs="Aptos"/>
          <w:sz w:val="20"/>
          <w:szCs w:val="20"/>
        </w:rPr>
        <w:t xml:space="preserve">{{provider.reg_no}}</w:t>
      </w:r>
      <w:r>
        <w:rPr>
          <w:rFonts w:ascii="Aptos" w:eastAsia="Aptos" w:hAnsi="Aptos" w:cs="Aptos"/>
          <w:sz w:val="20"/>
          <w:szCs w:val="20"/>
        </w:rPr>
        <w:t xml:space="preserve">, of </w:t>
      </w:r>
      <w:r>
        <w:rPr>
          <w:rFonts w:ascii="Aptos" w:eastAsia="Aptos" w:hAnsi="Aptos" w:cs="Aptos"/>
          <w:sz w:val="20"/>
          <w:szCs w:val="20"/>
        </w:rPr>
        <w:t xml:space="preserve">{{provider.address}}</w:t>
      </w:r>
      <w:r>
        <w:rPr>
          <w:rFonts w:ascii="Aptos" w:eastAsia="Aptos" w:hAnsi="Aptos" w:cs="Aptos"/>
          <w:sz w:val="20"/>
          <w:szCs w:val="20"/>
        </w:rPr>
        <w:t xml:space="preserve"> (the “Provider”) to </w:t>
      </w:r>
      <w:r>
        <w:rPr>
          <w:rFonts w:ascii="Aptos" w:eastAsia="Aptos" w:hAnsi="Aptos" w:cs="Aptos"/>
          <w:sz w:val="20"/>
          <w:szCs w:val="20"/>
        </w:rPr>
        <w:t xml:space="preserve">{{client.legal_name}}</w:t>
      </w:r>
      <w:r>
        <w:rPr>
          <w:rFonts w:ascii="Aptos" w:eastAsia="Aptos" w:hAnsi="Aptos" w:cs="Aptos"/>
          <w:sz w:val="20"/>
          <w:szCs w:val="20"/>
        </w:rPr>
        <w:t xml:space="preserve">, company registration number </w:t>
      </w:r>
      <w:r>
        <w:rPr>
          <w:rFonts w:ascii="Aptos" w:eastAsia="Aptos" w:hAnsi="Aptos" w:cs="Aptos"/>
          <w:sz w:val="20"/>
          <w:szCs w:val="20"/>
        </w:rPr>
        <w:t xml:space="preserve">{{client.reg_no}}</w:t>
      </w:r>
      <w:r>
        <w:rPr>
          <w:rFonts w:ascii="Aptos" w:eastAsia="Aptos" w:hAnsi="Aptos" w:cs="Aptos"/>
          <w:sz w:val="20"/>
          <w:szCs w:val="20"/>
        </w:rPr>
        <w:t xml:space="preserve">, of </w:t>
      </w:r>
      <w:r>
        <w:rPr>
          <w:rFonts w:ascii="Aptos" w:eastAsia="Aptos" w:hAnsi="Aptos" w:cs="Aptos"/>
          <w:sz w:val="20"/>
          <w:szCs w:val="20"/>
        </w:rPr>
        <w:t xml:space="preserve">{{client.address}}</w:t>
      </w:r>
      <w:r>
        <w:rPr>
          <w:rFonts w:ascii="Aptos" w:eastAsia="Aptos" w:hAnsi="Aptos" w:cs="Aptos"/>
          <w:sz w:val="20"/>
          <w:szCs w:val="20"/>
        </w:rPr>
        <w:t xml:space="preserve"> (the “Client”).</w:t>
      </w:r>
    </w:p>
    <w:p w14:paraId="77762AD6" w14:textId="2DDAE1D8" w:rsidR="00FB3DFF" w:rsidRDefault="00FB3DFF">
      <w:pPr>
        <w:spacing w:line="140" w:lineRule="auto"/>
        <w:jc w:val="both"/>
        <w:rPr>
          <w:rFonts w:ascii="Aptos" w:eastAsia="Aptos" w:hAnsi="Aptos" w:cs="Aptos"/>
          <w:sz w:val="20"/>
          <w:szCs w:val="20"/>
        </w:rPr>
      </w:pPr>
    </w:p>
    <w:p w14:paraId="3A96BB3B" w14:textId="2B8E2A25"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will provide design and development services to support the Client’s efforts in launching the </w:t>
      </w:r>
      <w:r>
        <w:rPr>
          <w:rFonts w:ascii="Aptos" w:eastAsia="Aptos" w:hAnsi="Aptos" w:cs="Aptos"/>
          <w:sz w:val="20"/>
          <w:szCs w:val="20"/>
        </w:rPr>
        <w:t xml:space="preserve">{{project.name}}</w:t>
      </w:r>
      <w:r>
        <w:rPr>
          <w:rFonts w:ascii="Aptos" w:eastAsia="Aptos" w:hAnsi="Aptos" w:cs="Aptos"/>
          <w:sz w:val="20"/>
          <w:szCs w:val="20"/>
        </w:rPr>
        <w:t xml:space="preserve">. This ATP sets out in full the scope, price and terms the parties agreed following the Provider’s proposal </w:t>
      </w:r>
      <w:r>
        <w:rPr>
          <w:rFonts w:ascii="Aptos" w:eastAsia="Aptos" w:hAnsi="Aptos" w:cs="Aptos"/>
          <w:sz w:val="20"/>
          <w:szCs w:val="20"/>
        </w:rPr>
        <w:t xml:space="preserve">{{proposal.ref}}</w:t>
      </w:r>
      <w:r>
        <w:rPr>
          <w:rFonts w:ascii="Aptos" w:eastAsia="Aptos" w:hAnsi="Aptos" w:cs="Aptos"/>
          <w:sz w:val="20"/>
          <w:szCs w:val="20"/>
        </w:rPr>
        <w:t xml:space="preserve"> dated </w:t>
      </w:r>
      <w:r>
        <w:rPr>
          <w:rFonts w:ascii="Aptos" w:eastAsia="Aptos" w:hAnsi="Aptos" w:cs="Aptos"/>
          <w:sz w:val="20"/>
          <w:szCs w:val="20"/>
        </w:rPr>
        <w:t xml:space="preserve">{{proposal.date}}</w:t>
      </w:r>
      <w:r>
        <w:rPr>
          <w:rFonts w:ascii="Aptos" w:eastAsia="Aptos" w:hAnsi="Aptos" w:cs="Aptos"/>
          <w:sz w:val="20"/>
          <w:szCs w:val="20"/>
        </w:rPr>
        <w:t xml:space="preserve">, and replaces that proposal under section 17.0. It describes the scope of work, process, deliverables, and the associated price for the project.</w:t>
      </w:r>
    </w:p>
    <w:p w14:paraId="6E2E7A56" w14:textId="5F4B4E8A" w:rsidR="00FB3DFF" w:rsidRDefault="00FB3DFF">
      <w:pPr>
        <w:spacing w:line="140" w:lineRule="auto"/>
        <w:jc w:val="both"/>
        <w:rPr>
          <w:rFonts w:ascii="Aptos" w:eastAsia="Aptos" w:hAnsi="Aptos" w:cs="Aptos"/>
          <w:sz w:val="20"/>
          <w:szCs w:val="20"/>
        </w:rPr>
      </w:pPr>
    </w:p>
    <w:p w14:paraId="6A8A84D3" w14:textId="5174746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This document also sets out the terms and conditions (T&amp;C) of the working relationship between the parties. All projects and services (“the Work”) that the Provider is engaged to produce or provide for the Client are subject to these terms, which the Client accepts by signing this document.</w:t>
      </w:r>
    </w:p>
    <w:p w14:paraId="40BFC7AB" w14:textId="305ACB66" w:rsidR="00FB3DFF" w:rsidRDefault="00FB3DFF">
      <w:pPr>
        <w:spacing w:line="140" w:lineRule="auto"/>
        <w:jc w:val="both"/>
        <w:rPr>
          <w:rFonts w:ascii="Aptos" w:eastAsia="Aptos" w:hAnsi="Aptos" w:cs="Aptos"/>
          <w:sz w:val="20"/>
          <w:szCs w:val="20"/>
        </w:rPr>
      </w:pPr>
    </w:p>
    <w:p w14:paraId="663D2FAC" w14:textId="77AD3DB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will begin work once the Client has approved this ATP and the T&amp;C and the Provider has received payment of the advance under section 4.0. The Client’s signature of this ATP and the T&amp;C constitutes a binding agreement between the parties (the “Agreement”).</w:t>
      </w:r>
    </w:p>
    <w:p w14:paraId="64106C3C" w14:textId="365C538F"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40E5771" w14:textId="3C0766FE"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2.0 Scope of Work</w:t>
      </w:r>
    </w:p>
    <w:p w14:paraId="26A6BDF4" w14:textId="3E16755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2.1 What the Provider will build</w:t>
      </w:r>
    </w:p>
    <w:p w14:paraId="5BCA70DD" w14:textId="349F4B2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will design and build </w:t>
      </w:r>
      <w:r>
        <w:rPr>
          <w:rFonts w:ascii="Aptos" w:eastAsia="Aptos" w:hAnsi="Aptos" w:cs="Aptos"/>
          <w:sz w:val="20"/>
          <w:szCs w:val="20"/>
        </w:rPr>
        <w:t xml:space="preserve">{{deliverable.article}}</w:t>
      </w:r>
      <w:r>
        <w:rPr>
          <w:rFonts w:ascii="Aptos" w:eastAsia="Aptos" w:hAnsi="Aptos" w:cs="Aptos"/>
          <w:sz w:val="20"/>
          <w:szCs w:val="20"/>
        </w:rPr>
        <w:t xml:space="preserve"> </w:t>
      </w:r>
      <w:r>
        <w:rPr>
          <w:rFonts w:ascii="Aptos" w:eastAsia="Aptos" w:hAnsi="Aptos" w:cs="Aptos"/>
          <w:sz w:val="20"/>
          <w:szCs w:val="20"/>
        </w:rPr>
        <w:t xml:space="preserve">{{deliverable}}</w:t>
      </w:r>
      <w:r>
        <w:rPr>
          <w:rFonts w:ascii="Aptos" w:eastAsia="Aptos" w:hAnsi="Aptos" w:cs="Aptos"/>
          <w:sz w:val="20"/>
          <w:szCs w:val="20"/>
        </w:rPr>
        <w:t xml:space="preserve"> for the Client on </w:t>
      </w:r>
      <w:r>
        <w:rPr>
          <w:rFonts w:ascii="Aptos" w:eastAsia="Aptos" w:hAnsi="Aptos" w:cs="Aptos"/>
          <w:sz w:val="20"/>
          <w:szCs w:val="20"/>
        </w:rPr>
        <w:t xml:space="preserve">{{scope.platform}}</w:t>
      </w:r>
      <w:r>
        <w:rPr>
          <w:rFonts w:ascii="Aptos" w:eastAsia="Aptos" w:hAnsi="Aptos" w:cs="Aptos"/>
          <w:sz w:val="20"/>
          <w:szCs w:val="20"/>
        </w:rPr>
        <w:t xml:space="preserve">. The build includes:</w:t>
      </w:r>
    </w:p>
    <w:p w14:paraId="41971253" w14:textId="32AD72B6" w:rsidR="00FB3DFF" w:rsidRDefault="00FB3DFF">
      <w:pPr>
        <w:spacing w:line="80" w:lineRule="auto"/>
        <w:jc w:val="both"/>
        <w:rPr>
          <w:rFonts w:ascii="Aptos" w:eastAsia="Aptos" w:hAnsi="Aptos" w:cs="Aptos"/>
          <w:sz w:val="20"/>
          <w:szCs w:val="20"/>
        </w:rPr>
      </w:pPr>
    </w:p>
    <w:p w14:paraId="29D97473" w14:textId="15C35651"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{{#inclusion}}</w:t>
      </w:r>
    </w:p>
    <w:p w14:paraId="152CC7A3" w14:textId="79842EA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{{?website}}</w:t>
      </w:r>
    </w:p>
    <w:p w14:paraId="4E0F40EE" w14:textId="592E4D5E"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2.2 Pages included</w:t>
      </w:r>
    </w:p>
    <w:p w14:paraId="538DC272" w14:textId="49474645"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t>
      </w:r>
      <w:r>
        <w:rPr>
          <w:rFonts w:ascii="Aptos" w:eastAsia="Aptos" w:hAnsi="Aptos" w:cs="Aptos"/>
          <w:sz w:val="20"/>
          <w:szCs w:val="20"/>
        </w:rPr>
        <w:t xml:space="preserve">{{deliverable}}</w:t>
      </w:r>
      <w:r>
        <w:rPr>
          <w:rFonts w:ascii="Aptos" w:eastAsia="Aptos" w:hAnsi="Aptos" w:cs="Aptos"/>
          <w:sz w:val="20"/>
          <w:szCs w:val="20"/>
        </w:rPr>
        <w:t xml:space="preserve"> includes the pages below. Where a page has subpages, they are listed beneath it and indented.</w:t>
      </w:r>
    </w:p>
    <w:p w14:paraId="28796F23" w14:textId="22EF5C74" w:rsidR="00FB3DFF" w:rsidRDefault="00FB3DFF">
      <w:pPr>
        <w:spacing w:line="8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31EAF476"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3771D89" w14:textId="4C196EA2"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Page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75D9ED6C" w14:textId="7CD9BBBE"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Purpose</w:t>
            </w:r>
          </w:p>
        </w:tc>
      </w:tr>
      <w:tr w:rsidR="00FB3DFF" w14:paraId="45202E15" w14:textId="13599AAB"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B686D9C" w14:textId="60C244ED"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{{#pages.0}}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262347D0" w14:textId="23DC6C83"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{{#pages.1}}</w:t>
            </w:r>
          </w:p>
        </w:tc>
      </w:tr>
    </w:tbl>
    <w:p w14:paraId="363EBA65" w14:textId="47AB5AF0" w:rsidR="00FB3DFF" w:rsidRDefault="00FB3DFF">
      <w:pPr>
        <w:spacing w:line="160" w:lineRule="auto"/>
        <w:jc w:val="both"/>
        <w:rPr>
          <w:rFonts w:ascii="Aptos" w:eastAsia="Aptos" w:hAnsi="Aptos" w:cs="Aptos"/>
          <w:sz w:val="20"/>
          <w:szCs w:val="20"/>
        </w:rPr>
      </w:pPr>
    </w:p>
    <w:p w14:paraId="3C061B43" w14:textId="32F3397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{{/website}}</w:t>
      </w:r>
    </w:p>
    <w:p w14:paraId="188D5F9C" w14:textId="64483B6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{{?web_app|mobile_app|web_mobile_app}}</w:t>
      </w:r>
    </w:p>
    <w:p w14:paraId="662EB463" w14:textId="1238F3E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2.2 Features included</w:t>
      </w:r>
    </w:p>
    <w:p w14:paraId="173140F9" w14:textId="50ACB10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t>
      </w:r>
      <w:r>
        <w:rPr>
          <w:rFonts w:ascii="Aptos" w:eastAsia="Aptos" w:hAnsi="Aptos" w:cs="Aptos"/>
          <w:sz w:val="20"/>
          <w:szCs w:val="20"/>
        </w:rPr>
        <w:t xml:space="preserve">{{deliverable}}</w:t>
      </w:r>
      <w:r>
        <w:rPr>
          <w:rFonts w:ascii="Aptos" w:eastAsia="Aptos" w:hAnsi="Aptos" w:cs="Aptos"/>
          <w:sz w:val="20"/>
          <w:szCs w:val="20"/>
        </w:rPr>
        <w:t xml:space="preserve"> includes the features below. Each is described further by the acceptance criteria agreed under section 3.4.</w:t>
      </w:r>
    </w:p>
    <w:p w14:paraId="650A0EA3" w14:textId="63CC5DDF" w:rsidR="00FB3DFF" w:rsidRDefault="00FB3DFF">
      <w:pPr>
        <w:spacing w:line="8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62E70D46" w14:textId="2BDE251A"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563E487B" w14:textId="7F184219"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Feature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4B9CE2FA" w14:textId="640AAAB4"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Description</w:t>
            </w:r>
          </w:p>
        </w:tc>
      </w:tr>
      <w:tr w:rsidR="00FB3DFF" w14:paraId="63F42F12" w14:textId="53564756"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204D547A" w14:textId="406AE012"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{{#features.0}}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18C81F5" w14:textId="2FD29498"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{{#features.1}}</w:t>
            </w:r>
          </w:p>
        </w:tc>
      </w:tr>
    </w:tbl>
    <w:p w14:paraId="77E7A80E" w14:textId="56889F33" w:rsidR="00FB3DFF" w:rsidRDefault="00FB3DFF">
      <w:pPr>
        <w:spacing w:line="160" w:lineRule="auto"/>
        <w:jc w:val="both"/>
        <w:rPr>
          <w:rFonts w:ascii="Aptos" w:eastAsia="Aptos" w:hAnsi="Aptos" w:cs="Aptos"/>
          <w:sz w:val="20"/>
          <w:szCs w:val="20"/>
        </w:rPr>
      </w:pPr>
    </w:p>
    <w:p w14:paraId="43493DAC" w14:textId="18B5A03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{{/web_app|mobile_app|web_mobile_app}}</w:t>
      </w:r>
    </w:p>
    <w:p w14:paraId="326A675C" w14:textId="3032653C"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2.3 Supported environments and Client accounts</w:t>
      </w:r>
    </w:p>
    <w:p w14:paraId="365A95DA" w14:textId="41BA7CF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{{?website}}</w:t>
      </w:r>
    </w:p>
    <w:p w14:paraId="669E1CD1" w14:textId="5D3BDF7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t>
      </w:r>
      <w:r>
        <w:rPr>
          <w:rFonts w:ascii="Aptos" w:eastAsia="Aptos" w:hAnsi="Aptos" w:cs="Aptos"/>
          <w:sz w:val="20"/>
          <w:szCs w:val="20"/>
        </w:rPr>
        <w:t xml:space="preserve">{{deliverable}}</w:t>
      </w:r>
      <w:r>
        <w:rPr>
          <w:rFonts w:ascii="Aptos" w:eastAsia="Aptos" w:hAnsi="Aptos" w:cs="Aptos"/>
          <w:sz w:val="20"/>
          <w:szCs w:val="20"/>
        </w:rPr>
        <w:t xml:space="preserve"> will be built to work on the current and previous major versions of Chrome, Safari, Edge and Firefox, on desktop, tablet and mobile screens.</w:t>
      </w:r>
    </w:p>
    <w:p w14:paraId="4AFC0B3C" w14:textId="29429AE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{{/website}}</w:t>
      </w:r>
    </w:p>
    <w:p w14:paraId="2086DF1C" w14:textId="56316D3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w:t>
      </w:r>
    </w:p>
    <w:p w14:paraId="12A1C7FA" w14:textId="43A417D0" w:rsidR="00FB3DFF" w:rsidRDefault="00FB3DFF">
      <w:pPr>
        <w:spacing w:line="140" w:lineRule="auto"/>
        <w:jc w:val="both"/>
        <w:rPr>
          <w:rFonts w:ascii="Aptos" w:eastAsia="Aptos" w:hAnsi="Aptos" w:cs="Aptos"/>
          <w:sz w:val="20"/>
          <w:szCs w:val="20"/>
        </w:rPr>
      </w:pPr>
    </w:p>
    <w:p w14:paraId="1E8A091A" w14:textId="5411ABB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t>
      </w:r>
      <w:r>
        <w:rPr>
          <w:rFonts w:ascii="Aptos" w:eastAsia="Aptos" w:hAnsi="Aptos" w:cs="Aptos"/>
          <w:sz w:val="20"/>
          <w:szCs w:val="20"/>
        </w:rPr>
        <w:t xml:space="preserve">{{deliverable}}</w:t>
      </w:r>
      <w:r>
        <w:rPr>
          <w:rFonts w:ascii="Aptos" w:eastAsia="Aptos" w:hAnsi="Aptos" w:cs="Aptos"/>
          <w:sz w:val="20"/>
          <w:szCs w:val="20"/>
        </w:rPr>
        <w:t xml:space="preserve"> will be built to work on the current and previous major versions of Chrome, Safari, Edge and Firefox, on desktop and mobile.</w:t>
      </w:r>
    </w:p>
    <w:p w14:paraId="10D3F04A" w14:textId="20F4C5F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w:t>
      </w:r>
    </w:p>
    <w:p w14:paraId="45F0C1DA" w14:textId="22BFBD1A"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{{?mobile_app}}</w:t>
      </w:r>
    </w:p>
    <w:p w14:paraId="7541FF99" w14:textId="13809C79" w:rsidR="00FB3DFF" w:rsidRDefault="00FB3DFF">
      <w:pPr>
        <w:spacing w:line="140" w:lineRule="auto"/>
        <w:jc w:val="both"/>
        <w:rPr>
          <w:rFonts w:ascii="Aptos" w:eastAsia="Aptos" w:hAnsi="Aptos" w:cs="Aptos"/>
          <w:sz w:val="20"/>
          <w:szCs w:val="20"/>
        </w:rPr>
      </w:pPr>
    </w:p>
    <w:p w14:paraId="36BD8D73" w14:textId="2FABE91A"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t>
      </w:r>
      <w:r>
        <w:rPr>
          <w:rFonts w:ascii="Aptos" w:eastAsia="Aptos" w:hAnsi="Aptos" w:cs="Aptos"/>
          <w:sz w:val="20"/>
          <w:szCs w:val="20"/>
        </w:rPr>
        <w:t xml:space="preserve">{{deliverable}}</w:t>
      </w:r>
      <w:r>
        <w:rPr>
          <w:rFonts w:ascii="Aptos" w:eastAsia="Aptos" w:hAnsi="Aptos" w:cs="Aptos"/>
          <w:sz w:val="20"/>
          <w:szCs w:val="20"/>
        </w:rPr>
        <w:t xml:space="preserve"> will be built to work on </w:t>
      </w:r>
      <w:r>
        <w:rPr>
          <w:rFonts w:ascii="Aptos" w:eastAsia="Aptos" w:hAnsi="Aptos" w:cs="Aptos"/>
          <w:sz w:val="20"/>
          <w:szCs w:val="20"/>
        </w:rPr>
        <w:t xml:space="preserve">{{scope.devices}}</w:t>
      </w:r>
      <w:r>
        <w:rPr>
          <w:rFonts w:ascii="Aptos" w:eastAsia="Aptos" w:hAnsi="Aptos" w:cs="Aptos"/>
          <w:sz w:val="20"/>
          <w:szCs w:val="20"/>
        </w:rPr>
        <w:t xml:space="preserve">. It is tested on a representative set of current devices for each operating system, not on every model. Tablet layouts are included only where section 2.2 lists them.</w:t>
      </w:r>
    </w:p>
    <w:p w14:paraId="5CFDEDE0" w14:textId="2441600A"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{{/mobile_app}}</w:t>
      </w:r>
    </w:p>
    <w:p w14:paraId="1FC4258C" w14:textId="196D34E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{{?web_mobile_app}}</w:t>
      </w:r>
    </w:p>
    <w:p w14:paraId="63494E63" w14:textId="2CBDACE9" w:rsidR="00FB3DFF" w:rsidRDefault="00FB3DFF">
      <w:pPr>
        <w:spacing w:line="140" w:lineRule="auto"/>
        <w:jc w:val="both"/>
        <w:rPr>
          <w:rFonts w:ascii="Aptos" w:eastAsia="Aptos" w:hAnsi="Aptos" w:cs="Aptos"/>
          <w:sz w:val="20"/>
          <w:szCs w:val="20"/>
        </w:rPr>
      </w:pPr>
    </w:p>
    <w:p w14:paraId="7A426591" w14:textId="36B7971A"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web app will be built to work on the current and previous major versions of Chrome, Safari, Edge and Firefox, on desktop and mobile, and the mobile app on </w:t>
      </w:r>
      <w:r>
        <w:rPr>
          <w:rFonts w:ascii="Aptos" w:eastAsia="Aptos" w:hAnsi="Aptos" w:cs="Aptos"/>
          <w:sz w:val="20"/>
          <w:szCs w:val="20"/>
        </w:rPr>
        <w:t xml:space="preserve">{{scope.devices}}</w:t>
      </w:r>
      <w:r>
        <w:rPr>
          <w:rFonts w:ascii="Aptos" w:eastAsia="Aptos" w:hAnsi="Aptos" w:cs="Aptos"/>
          <w:sz w:val="20"/>
          <w:szCs w:val="20"/>
        </w:rPr>
        <w:t xml:space="preserve">. The mobile app is tested on a representative set of current devices for each operating system, not on every model. Tablet layouts are included only where section 2.2 lists them.</w:t>
      </w:r>
    </w:p>
    <w:p w14:paraId="7FC38CDE" w14:textId="5C02287A"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{{/web_mobile_app}}</w:t>
      </w:r>
    </w:p>
    <w:p w14:paraId="6D22BDCE" w14:textId="3BB4BB8E" w:rsidR="00FB3DFF" w:rsidRDefault="00FB3DFF">
      <w:pPr>
        <w:spacing w:line="140" w:lineRule="auto"/>
        <w:jc w:val="both"/>
        <w:rPr>
          <w:rFonts w:ascii="Aptos" w:eastAsia="Aptos" w:hAnsi="Aptos" w:cs="Aptos"/>
          <w:sz w:val="20"/>
          <w:szCs w:val="20"/>
        </w:rPr>
      </w:pPr>
    </w:p>
    <w:p w14:paraId="72320E46" w14:textId="7ECB247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follows good accessibility practice, such as readable contrast, text alternatives for images and keyboard access where the platform allows. This is not a warranty of legal compliance or a certification against an accessibility standard (such as WCAG 2.2 Level AA), which is included only if agreed in writing before design begins.</w:t>
      </w:r>
    </w:p>
    <w:p w14:paraId="67555CB4" w14:textId="2727182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{{?website}}</w:t>
      </w:r>
    </w:p>
    <w:p w14:paraId="2823D5F3" w14:textId="13A1C729" w:rsidR="00FB3DFF" w:rsidRDefault="00FB3DFF">
      <w:pPr>
        <w:spacing w:line="140" w:lineRule="auto"/>
        <w:jc w:val="both"/>
        <w:rPr>
          <w:rFonts w:ascii="Aptos" w:eastAsia="Aptos" w:hAnsi="Aptos" w:cs="Aptos"/>
          <w:sz w:val="20"/>
          <w:szCs w:val="20"/>
        </w:rPr>
      </w:pPr>
    </w:p>
    <w:p w14:paraId="45E5F249" w14:textId="1F04385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following are held in the Client’s name and paid for by the Client directly: the domain name, the hosting account, and any email service. Licences for premium themes or plugins and stock images are bought in the Client’s name where the supplier allows, or bought by the Provider for the Client under section 5.0 and transferred at handover where the licence permits.</w:t>
      </w:r>
    </w:p>
    <w:p w14:paraId="7EB1FDDA" w14:textId="3374FEB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{{/website}}</w:t>
      </w:r>
    </w:p>
    <w:p w14:paraId="31BA2E8E" w14:textId="7236DE8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w:t>
      </w:r>
    </w:p>
    <w:p w14:paraId="63B23AD4" w14:textId="59FC1DFE" w:rsidR="00FB3DFF" w:rsidRDefault="00FB3DFF">
      <w:pPr>
        <w:spacing w:line="140" w:lineRule="auto"/>
        <w:jc w:val="both"/>
        <w:rPr>
          <w:rFonts w:ascii="Aptos" w:eastAsia="Aptos" w:hAnsi="Aptos" w:cs="Aptos"/>
          <w:sz w:val="20"/>
          <w:szCs w:val="20"/>
        </w:rPr>
      </w:pPr>
    </w:p>
    <w:p w14:paraId="48985AE4" w14:textId="2ECCF76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following are held in the Client’s name and paid for by the Client directly: the domain name, and the hosting and cloud accounts the </w:t>
      </w:r>
      <w:r>
        <w:rPr>
          <w:rFonts w:ascii="Aptos" w:eastAsia="Aptos" w:hAnsi="Aptos" w:cs="Aptos"/>
          <w:sz w:val="20"/>
          <w:szCs w:val="20"/>
        </w:rPr>
        <w:t xml:space="preserve">{{deliverable}}</w:t>
      </w:r>
      <w:r>
        <w:rPr>
          <w:rFonts w:ascii="Aptos" w:eastAsia="Aptos" w:hAnsi="Aptos" w:cs="Aptos"/>
          <w:sz w:val="20"/>
          <w:szCs w:val="20"/>
        </w:rPr>
        <w:t xml:space="preserve"> runs on, including its database, email and any other service listed in section 2.2.</w:t>
      </w:r>
    </w:p>
    <w:p w14:paraId="631E5943" w14:textId="44F624D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w:t>
      </w:r>
    </w:p>
    <w:p w14:paraId="3CB1FDAA" w14:textId="264C91D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{{?mobile_app|web_mobile_app}}</w:t>
      </w:r>
    </w:p>
    <w:p w14:paraId="63E8FB16" w14:textId="7BFD4AAB" w:rsidR="00FB3DFF" w:rsidRDefault="00FB3DFF">
      <w:pPr>
        <w:spacing w:line="140" w:lineRule="auto"/>
        <w:jc w:val="both"/>
        <w:rPr>
          <w:rFonts w:ascii="Aptos" w:eastAsia="Aptos" w:hAnsi="Aptos" w:cs="Aptos"/>
          <w:sz w:val="20"/>
          <w:szCs w:val="20"/>
        </w:rPr>
      </w:pPr>
    </w:p>
    <w:p w14:paraId="5B26430D" w14:textId="4347D5F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following are held in the Client’s name and paid for by the Client directly: the domain name, the hosting and cloud accounts the </w:t>
      </w:r>
      <w:r>
        <w:rPr>
          <w:rFonts w:ascii="Aptos" w:eastAsia="Aptos" w:hAnsi="Aptos" w:cs="Aptos"/>
          <w:sz w:val="20"/>
          <w:szCs w:val="20"/>
        </w:rPr>
        <w:t xml:space="preserve">{{deliverable}}</w:t>
      </w:r>
      <w:r>
        <w:rPr>
          <w:rFonts w:ascii="Aptos" w:eastAsia="Aptos" w:hAnsi="Aptos" w:cs="Aptos"/>
          <w:sz w:val="20"/>
          <w:szCs w:val="20"/>
        </w:rPr>
        <w:t xml:space="preserve"> runs on, including its database, email and any other service listed in section 2.2, and each app store developer account the </w:t>
      </w:r>
      <w:r>
        <w:rPr>
          <w:rFonts w:ascii="Aptos" w:eastAsia="Aptos" w:hAnsi="Aptos" w:cs="Aptos"/>
          <w:sz w:val="20"/>
          <w:szCs w:val="20"/>
        </w:rPr>
        <w:t xml:space="preserve">{{store_app}}</w:t>
      </w:r>
      <w:r>
        <w:rPr>
          <w:rFonts w:ascii="Aptos" w:eastAsia="Aptos" w:hAnsi="Aptos" w:cs="Aptos"/>
          <w:sz w:val="20"/>
          <w:szCs w:val="20"/>
        </w:rPr>
        <w:t xml:space="preserve"> is published under, being the Apple Developer Program and Google Play Console. The Client enrols in each store as the account holder, in its organisation’s name, and gives the Provider a developer role.</w:t>
      </w:r>
    </w:p>
    <w:p w14:paraId="1EE552BB" w14:textId="7AAE488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{{/mobile_app|web_mobile_app}}</w:t>
      </w:r>
    </w:p>
    <w:p w14:paraId="1666099B" w14:textId="5A2EED29"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2.4 Exclusions</w:t>
      </w:r>
    </w:p>
    <w:p w14:paraId="1111E5A8" w14:textId="12CE796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following are not included in this Agreement and will be quoted separately if the Client requires them: </w:t>
      </w:r>
      <w:r>
        <w:rPr>
          <w:rFonts w:ascii="Aptos" w:eastAsia="Aptos" w:hAnsi="Aptos" w:cs="Aptos"/>
          <w:sz w:val="20"/>
          <w:szCs w:val="20"/>
        </w:rPr>
        <w:t xml:space="preserve">{{scope.exclusions}}</w:t>
      </w:r>
      <w:r>
        <w:rPr>
          <w:rFonts w:ascii="Aptos" w:eastAsia="Aptos" w:hAnsi="Aptos" w:cs="Aptos"/>
          <w:sz w:val="20"/>
          <w:szCs w:val="20"/>
        </w:rPr>
        <w:t xml:space="preserve">.</w:t>
      </w:r>
    </w:p>
    <w:p w14:paraId="1C4C30D4" w14:textId="2458B51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{{?web_app|mobile_app|web_mobile_app}}</w:t>
      </w:r>
    </w:p>
    <w:p w14:paraId="2D19E9DF" w14:textId="21B5485B" w:rsidR="00FB3DFF" w:rsidRDefault="00FB3DFF">
      <w:pPr>
        <w:spacing w:line="140" w:lineRule="auto"/>
        <w:jc w:val="both"/>
        <w:rPr>
          <w:rFonts w:ascii="Aptos" w:eastAsia="Aptos" w:hAnsi="Aptos" w:cs="Aptos"/>
          <w:sz w:val="20"/>
          <w:szCs w:val="20"/>
        </w:rPr>
      </w:pPr>
    </w:p>
    <w:p w14:paraId="6B149135" w14:textId="2757D83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builds to current good practice for security, performance and accessibility, and is responsible for delivering the work described in section 2.1. The Provider does not warrant that the </w:t>
      </w:r>
      <w:r>
        <w:rPr>
          <w:rFonts w:ascii="Aptos" w:eastAsia="Aptos" w:hAnsi="Aptos" w:cs="Aptos"/>
          <w:sz w:val="20"/>
          <w:szCs w:val="20"/>
        </w:rPr>
        <w:t xml:space="preserve">{{deliverable}}</w:t>
      </w:r>
      <w:r>
        <w:rPr>
          <w:rFonts w:ascii="Aptos" w:eastAsia="Aptos" w:hAnsi="Aptos" w:cs="Aptos"/>
          <w:sz w:val="20"/>
          <w:szCs w:val="20"/>
        </w:rPr>
        <w:t xml:space="preserve"> will be free of every error or security weakness, since no software can be, but corrects defects in its work under section 4.1. The Provider cannot guarantee results that depend on matters outside its control, such as app store rankings, user or download numbers, ratings or reviews, conversion rates or revenue, and is not responsible for third-party services being available or uninterrupted.</w:t>
      </w:r>
    </w:p>
    <w:p w14:paraId="704A66D8" w14:textId="628A02E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{{/web_app|mobile_app|web_mobile_app}}</w:t>
      </w:r>
    </w:p>
    <w:p w14:paraId="333BA72A" w14:textId="2D64032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2.5 Fees and payment schedule</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400"/>
        <w:gridCol w:w="4550"/>
        <w:gridCol w:w="1450"/>
        <w:gridCol w:w="1450"/>
      </w:tblGrid>
      <w:tr w:rsidR="00BE2257" w14:paraId="1864D375" w14:textId="4945BA22"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400" w:type="dxa"/>
            <w:shd w:val="clear" w:color="auto" w:fill="0C9476"/>
            <w:hideMark/>
            <w:tcBorders>
              <w:top w:val="outset" w:sz="6" w:space="0" w:color="0C9476"/>
              <w:left w:val="outset" w:sz="6" w:space="0" w:color="0C9476"/>
              <w:bottom w:val="outset" w:sz="6" w:space="0" w:color="0C9476"/>
              <w:right w:val="outset" w:sz="6" w:space="0" w:color="0C9476"/>
            </w:tcBorders>
          </w:tcPr>
          <w:p w14:paraId="1E8D8443" w14:textId="58C3C835" w:rsidR="00BE2257" w:rsidRPr="00BE2257" w:rsidRDefault="00BE2257" w:rsidP="007009E1">
            <w:pPr>
              <w:spacing w:line="276" w:lineRule="auto"/>
              <w:rPr>
                <w:sz w:val="18"/>
                <w:szCs w:val="18"/>
                <w:lang w:val="en-US"/>
              </w:rPr>
            </w:pPr>
            <w:r w:rsidRPr="00BE2257">
              <w:rPr>
                <w:rFonts w:ascii="Aptos" w:hAnsi="Aptos" w:cs="Aptos" w:hint="cs" w:eastAsia="Aptos"/>
                <w:color w:val="FFFFFF"/>
                <w:sz w:val="18"/>
                <w:szCs w:val="18"/>
              </w:rPr>
              <w:t>Milestone</w:t>
            </w:r>
          </w:p>
        </w:tc>
        <w:tc>
          <w:tcPr>
            <w:tcW w:w="4550" w:type="dxa"/>
            <w:shd w:val="clear" w:color="auto" w:fill="0C9476"/>
            <w:hideMark/>
            <w:tcBorders>
              <w:top w:val="outset" w:sz="6" w:space="0" w:color="0C9476"/>
              <w:left w:val="outset" w:sz="6" w:space="0" w:color="0C9476"/>
              <w:bottom w:val="outset" w:sz="6" w:space="0" w:color="0C9476"/>
              <w:right w:val="outset" w:sz="6" w:space="0" w:color="0C9476"/>
            </w:tcBorders>
          </w:tcPr>
          <w:p w14:paraId="2BD8B27E" w14:textId="679D5E2C"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Descri</w:t>
            </w:r>
            <w:r w:rsidRPr="00BE2257">
              <w:rPr>
                <w:rFonts w:ascii="Aptos" w:hAnsi="Aptos" w:cs="Aptos" w:hint="cs" w:eastAsia="Aptos"/>
                <w:color w:val="FFFFFF"/>
                <w:sz w:val="18"/>
                <w:szCs w:val="18"/>
                <w:shd w:val="clear" w:color="auto" w:fill="0C9476"/>
              </w:rPr>
              <w:t>ption</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2C991B11" w14:textId="36E8A590"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6F6F3DA6" w14:textId="7DE4F2BE"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(ex SSCL)</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37F17AA9" w14:textId="61E8D9A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1194544F" w14:textId="58F07131" w:rsidR="00BE2257" w:rsidRPr="00BE2257" w:rsidRDefault="007009E1"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eastAsia="Aptos"/>
                <w:color w:val="FFFFFF"/>
                <w:sz w:val="18"/>
                <w:szCs w:val="18"/>
              </w:rPr>
              <w:t>(</w:t>
            </w:r>
            <w:proofErr w:type="spellStart"/>
            <w:r w:rsidR="00BE2257" w:rsidRPr="00BE2257">
              <w:rPr>
                <w:rFonts w:ascii="Aptos" w:hAnsi="Aptos" w:cs="Aptos" w:hint="cs" w:eastAsia="Aptos"/>
                <w:color w:val="FFFFFF"/>
                <w:sz w:val="18"/>
                <w:szCs w:val="18"/>
              </w:rPr>
              <w:t>inc</w:t>
            </w:r>
            <w:proofErr w:type="spellEnd"/>
            <w:r w:rsidR="00BE2257" w:rsidRPr="00BE2257">
              <w:rPr>
                <w:rFonts w:ascii="Aptos" w:hAnsi="Aptos" w:cs="Aptos" w:hint="cs" w:eastAsia="Aptos"/>
                <w:color w:val="FFFFFF"/>
                <w:sz w:val="18"/>
                <w:szCs w:val="18"/>
              </w:rPr>
              <w:t xml:space="preserve"> SSCL)</w:t>
            </w:r>
          </w:p>
        </w:tc>
      </w:tr>
      <w:tr w:rsidR="00BE2257" w14:paraId="47373E6F" w14:textId="195F2731" w:rsidTr="007009E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2717C31" w14:textId="25CE66CA" w:rsidR="00BE2257" w:rsidRPr="00BE2257" w:rsidRDefault="00BE2257" w:rsidP="007009E1">
            <w:pPr>
              <w:spacing w:line="276" w:lineRule="auto"/>
              <w:jc w:val="both"/>
              <w:rPr>
                <w:sz w:val="18"/>
                <w:szCs w:val="18"/>
              </w:rPr>
            </w:pPr>
            <w:r w:rsidRPr="00BE2257">
              <w:rPr>
                <w:rFonts w:ascii="Aptos" w:hAnsi="Aptos" w:cs="Aptos" w:hint="cs" w:eastAsia="Aptos"/>
                <w:color w:val="7F7F7F"/>
                <w:sz w:val="18"/>
                <w:szCs w:val="18"/>
              </w:rPr>
              <w:t>{{#milestones.n}}</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27C3EC5" w14:textId="2528779E"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{{#milestones.description}}</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23565386" w14:textId="23A132A6"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{{#milestones.amount_ex}}</w:t>
            </w:r>
            <w:r w:rsidR="00BE2257" w:rsidRPr="00BE2257">
              <w:rPr>
                <w:rFonts w:ascii="Aptos" w:hAnsi="Aptos" w:cs="Aptos" w:hint="cs" w:eastAsia="Aptos"/>
                <w:b/>
                <w:bCs/>
                <w:color w:val="000000"/>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1EA2E9B8" w14:textId="396AD152"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{{#milestones.amount_inc}}</w:t>
            </w:r>
            <w:r>
              <w:rPr>
                <w:rFonts w:ascii="Aptos" w:hAnsi="Aptos" w:cs="Aptos" w:eastAsia="Aptos"/>
                <w:b/>
                <w:bCs/>
                <w:color w:val="000000"/>
                <w:sz w:val="18"/>
                <w:szCs w:val="18"/>
              </w:rPr>
            </w:r>
            <w:r w:rsidR="00BE2257" w:rsidRPr="00BE2257">
              <w:rPr>
                <w:rFonts w:ascii="Aptos" w:hAnsi="Aptos" w:cs="Aptos" w:hint="cs" w:eastAsia="Aptos"/>
                <w:b/>
                <w:bCs/>
                <w:color w:val="000000"/>
                <w:sz w:val="18"/>
                <w:szCs w:val="18"/>
              </w:rPr>
            </w:r>
          </w:p>
        </w:tc>
      </w:tr>
      <w:tr w:rsidR="00BE2257" w14:paraId="7C7F0CC7" w14:textId="634885A4" w:rsidTr="007009E1">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11460F" w14:textId="789A4AAF" w:rsidR="00BE2257" w:rsidRPr="00BE2257" w:rsidRDefault="00BE2257" w:rsidP="007009E1">
            <w:pPr>
              <w:spacing w:line="276" w:lineRule="auto"/>
              <w:jc w:val="both"/>
              <w:rPr>
                <w:sz w:val="18"/>
                <w:szCs w:val="18"/>
              </w:rPr>
            </w:pPr>
            <w:r w:rsidRPr="00BE2257">
              <w:rPr>
                <w:rFonts w:ascii="Aptos" w:hAnsi="Aptos" w:cs="Aptos" w:hint="cs" w:eastAsia="Aptos"/>
                <w:sz w:val="18"/>
                <w:szCs w:val="18"/>
              </w:rPr>
              <w:t>Total</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F234AF9" w14:textId="34B6167E"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Excluding and including SSCL</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FF152C0" w14:textId="6943176D"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sz w:val="18"/>
                <w:szCs w:val="18"/>
              </w:rPr>
              <w:t>{{fee.total}}</w:t>
            </w:r>
            <w:r w:rsidR="00BE2257" w:rsidRPr="00BE2257">
              <w:rPr>
                <w:rFonts w:ascii="Aptos" w:hAnsi="Aptos" w:cs="Aptos" w:hint="cs" w:eastAsia="Aptos"/>
                <w:b/>
                <w:bCs/>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10AF178C" w14:textId="29243E2C"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{{fee.total_inc}}</w:t>
            </w:r>
            <w:r>
              <w:rPr>
                <w:rFonts w:ascii="Aptos" w:hAnsi="Aptos" w:cs="Aptos" w:eastAsia="Aptos"/>
                <w:b/>
                <w:bCs/>
                <w:color w:val="000000"/>
                <w:sz w:val="18"/>
                <w:szCs w:val="18"/>
              </w:rPr>
            </w:r>
            <w:r w:rsidR="00BE2257" w:rsidRPr="00BE2257">
              <w:rPr>
                <w:rFonts w:ascii="Aptos" w:hAnsi="Aptos" w:cs="Aptos" w:hint="cs" w:eastAsia="Aptos"/>
                <w:b/>
                <w:bCs/>
                <w:sz w:val="18"/>
                <w:szCs w:val="18"/>
              </w:rPr>
            </w:r>
          </w:p>
        </w:tc>
      </w:tr>
    </w:tbl>
    <w:p w14:paraId="44929BAF" w14:textId="4EA5B721" w:rsidR="00FB3DFF" w:rsidRDefault="00FB3DFF">
      <w:pPr>
        <w:spacing w:line="160" w:lineRule="auto"/>
        <w:jc w:val="both"/>
        <w:rPr>
          <w:rFonts w:ascii="Aptos" w:eastAsia="Aptos" w:hAnsi="Aptos" w:cs="Aptos"/>
          <w:sz w:val="20"/>
          <w:szCs w:val="20"/>
        </w:rPr>
      </w:pPr>
    </w:p>
    <w:p w14:paraId="15B34AE1" w14:textId="7E26EE81"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{{fee.headline}}</w:t>
      </w:r>
      <w:r>
        <w:rPr>
          <w:rFonts w:ascii="Aptos" w:eastAsia="Aptos" w:hAnsi="Aptos" w:cs="Aptos"/>
          <w:sz w:val="20"/>
          <w:szCs w:val="20"/>
        </w:rPr>
        <w:t xml:space="preserve"> All amounts are in Sri Lankan Rupees (LKR). Fees exclude the Social Security Contribution Levy (SSCL), value added tax (VAT) and any other tax properly chargeable by law, and each such tax is itemised on the invoice at the rate in force when the invoice is issued. At the date of this Agreement the Provider charges SSCL at </w:t>
      </w:r>
      <w:r>
        <w:rPr>
          <w:rFonts w:ascii="Aptos" w:eastAsia="Aptos" w:hAnsi="Aptos" w:cs="Aptos"/>
          <w:sz w:val="20"/>
          <w:szCs w:val="20"/>
        </w:rPr>
        <w:t xml:space="preserve">{{tax.rate_pct}}</w:t>
      </w:r>
      <w:r>
        <w:rPr>
          <w:rFonts w:ascii="Aptos" w:eastAsia="Aptos" w:hAnsi="Aptos" w:cs="Aptos"/>
          <w:sz w:val="20"/>
          <w:szCs w:val="20"/>
        </w:rPr>
        <w:t xml:space="preserve">, amounting to </w:t>
      </w:r>
      <w:r>
        <w:rPr>
          <w:rFonts w:ascii="Aptos" w:eastAsia="Aptos" w:hAnsi="Aptos" w:cs="Aptos"/>
          <w:sz w:val="20"/>
          <w:szCs w:val="20"/>
        </w:rPr>
        <w:t xml:space="preserve">{{fee.tax}}</w:t>
      </w:r>
      <w:r>
        <w:rPr>
          <w:rFonts w:ascii="Aptos" w:eastAsia="Aptos" w:hAnsi="Aptos" w:cs="Aptos"/>
          <w:sz w:val="20"/>
          <w:szCs w:val="20"/>
        </w:rPr>
        <w:t xml:space="preserve">, which makes the total payable </w:t>
      </w:r>
      <w:r>
        <w:rPr>
          <w:rFonts w:ascii="Aptos" w:eastAsia="Aptos" w:hAnsi="Aptos" w:cs="Aptos"/>
          <w:sz w:val="20"/>
          <w:szCs w:val="20"/>
        </w:rPr>
        <w:t xml:space="preserve">{{fee.total_inc}}</w:t>
      </w:r>
      <w:r>
        <w:rPr>
          <w:rFonts w:ascii="Aptos" w:eastAsia="Aptos" w:hAnsi="Aptos" w:cs="Aptos"/>
          <w:sz w:val="20"/>
          <w:szCs w:val="20"/>
        </w:rPr>
        <w:t xml:space="preserve"> including SSCL. Every other amount payable under this Agreement, including expenses and additional work, is charged on the same basis.</w:t>
      </w:r>
    </w:p>
    <w:p w14:paraId="50E3D4D8" w14:textId="71703F1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F2BC3DF" w14:textId="1237F22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3.0 Work Plan</w:t>
      </w:r>
    </w:p>
    <w:p w14:paraId="61504F6E" w14:textId="33710614"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3.1 Timeline</w:t>
      </w:r>
    </w:p>
    <w:tbl>
      <w:tblPr>
        <w:tblStyle w:val="a0"/>
        <w:tblW w:w="8850" w:type="dxa"/>
        <w:tblInd w:w="0" w:type="dxa"/>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Layout w:type="fixed"/>
      </w:tblPr>
      <w:tblGrid>
        <w:gridCol w:w="4600"/>
        <w:gridCol w:w="2200"/>
        <w:gridCol w:w="2050"/>
      </w:tblGrid>
      <w:tr w:rsidR="00FB3DFF" w14:paraId="4895094B" w14:textId="350BCC70" w:rsidTr="007009E1">
        <w:trPr>
          <w:trHeight w:val="400"/>
          <w:tblHeader/>
        </w:trPr>
        <w:tc>
          <w:tcPr>
            <w:tcW w:w="46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1DD2AA28" w14:textId="1591A9FD"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Milestone / Task</w:t>
            </w:r>
          </w:p>
        </w:tc>
        <w:tc>
          <w:tcPr>
            <w:tcW w:w="22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4C5F6659" w14:textId="5E67EE15"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Responsibility</w:t>
            </w:r>
          </w:p>
        </w:tc>
        <w:tc>
          <w:tcPr>
            <w:tcW w:w="20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41FAA4D3" w14:textId="5E4DDEAC"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Timeline</w:t>
            </w:r>
          </w:p>
        </w:tc>
      </w:tr>
      <w:tr w:rsidR="00FB3DFF" w14:paraId="2BFB5067" w14:textId="34BB75F1" w:rsidTr="007009E1">
        <w:trPr>
          <w:trHeight w:val="330"/>
        </w:trPr>
        <w:tc>
          <w:tcPr>
            <w:tcW w:w="46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E1747E4" w14:textId="5AE5FE41"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{{#tasks.0}}</w:t>
            </w:r>
          </w:p>
        </w:tc>
        <w:tc>
          <w:tcPr>
            <w:tcW w:w="22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991E6D8" w14:textId="23F364D3"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{{#tasks.1}}</w:t>
            </w:r>
          </w:p>
        </w:tc>
        <w:tc>
          <w:tcPr>
            <w:tcW w:w="20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B9F9282" w14:textId="1C4C17AA"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{{#tasks.2}}</w:t>
            </w:r>
          </w:p>
        </w:tc>
      </w:tr>
    </w:tbl>
    <w:p w14:paraId="6C1381D4" w14:textId="184E54D4" w:rsidR="00FB3DFF" w:rsidRDefault="00FB3DFF">
      <w:pPr>
        <w:spacing w:line="160" w:lineRule="auto"/>
        <w:jc w:val="both"/>
        <w:rPr>
          <w:rFonts w:ascii="Aptos" w:eastAsia="Aptos" w:hAnsi="Aptos" w:cs="Aptos"/>
          <w:sz w:val="20"/>
          <w:szCs w:val="20"/>
        </w:rPr>
      </w:pPr>
    </w:p>
    <w:p w14:paraId="250FF714" w14:textId="60948CD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{{timeline.duration}}</w:t>
      </w:r>
      <w:r>
        <w:rPr>
          <w:rFonts w:ascii="Aptos" w:eastAsia="Aptos" w:hAnsi="Aptos" w:cs="Aptos"/>
          <w:sz w:val="20"/>
          <w:szCs w:val="20"/>
        </w:rPr>
        <w:t xml:space="preserve"> from the project kick-off. Exact dates are confirmed at kick-off, and this timeline assumes the Client provides content, feedback and approvals by the dates they fall due.</w:t>
      </w:r>
    </w:p>
    <w:p w14:paraId="4FEB7BA0" w14:textId="49BA7555"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3.2 Work outside the agreed scope</w:t>
      </w:r>
    </w:p>
    <w:p w14:paraId="60AFC5A4" w14:textId="11B5222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Work outside the scope described in section 2.0 will increase the number of billable hours on the project and affect the projected target date. For such work, the Provider will inform the Client of the additional cost before the work begins, and the Client will be charged accordingly once it has approved that cost in writing (see section 6.0, Additions and Alterations).</w:t>
      </w:r>
    </w:p>
    <w:p w14:paraId="25EAA94D" w14:textId="12EDF354"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3.3 Deadlines</w:t>
      </w:r>
    </w:p>
    <w:p w14:paraId="6017CBBD" w14:textId="3973F97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plans its work to meet every agreed deadline, and relies on the Client to do the same by providing approvals, sign-offs and content on time. Delays in the Client’s approvals, and work outside the agreed scope, will move the project schedule and delivery dates back accordingly, but payment milestones remain due on the dates the timeline in section 3.1 gives them, other than the final payment, which is due on acceptance under section 3.4. If the Provider misses a deadline for reasons within its control, the payment milestones move back accordingly. The Provider manages the project and its schedule.</w:t>
      </w:r>
    </w:p>
    <w:p w14:paraId="7D36F590" w14:textId="4D1F8A8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{{?website}}</w:t>
      </w:r>
    </w:p>
    <w:p w14:paraId="6427B7AC" w14:textId="11162E49"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3.4 Acceptance</w:t>
      </w:r>
    </w:p>
    <w:p w14:paraId="41CE7097" w14:textId="681FBC5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t>
      </w:r>
      <w:r>
        <w:rPr>
          <w:rFonts w:ascii="Aptos" w:eastAsia="Aptos" w:hAnsi="Aptos" w:cs="Aptos"/>
          <w:sz w:val="20"/>
          <w:szCs w:val="20"/>
        </w:rPr>
        <w:t xml:space="preserve">{{deliverable}}</w:t>
      </w:r>
      <w:r>
        <w:rPr>
          <w:rFonts w:ascii="Aptos" w:eastAsia="Aptos" w:hAnsi="Aptos" w:cs="Aptos"/>
          <w:sz w:val="20"/>
          <w:szCs w:val="20"/>
        </w:rPr>
        <w:t xml:space="preserve"> is accepted when it performs as described in section 2.0. Acceptance testing checks that:</w:t>
      </w:r>
    </w:p>
    <w:p w14:paraId="5054907E" w14:textId="71A4092A" w:rsidR="00FB3DFF" w:rsidRDefault="00FB3DFF">
      <w:pPr>
        <w:spacing w:line="80" w:lineRule="auto"/>
        <w:jc w:val="both"/>
        <w:rPr>
          <w:rFonts w:ascii="Aptos" w:eastAsia="Aptos" w:hAnsi="Aptos" w:cs="Aptos"/>
          <w:sz w:val="20"/>
          <w:szCs w:val="20"/>
        </w:rPr>
      </w:pPr>
    </w:p>
    <w:p w14:paraId="753E9BEF" w14:textId="699E5800"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• each page listed in section 2.2 is present, with the content the Client supplied;</w:t>
      </w:r>
    </w:p>
    <w:p w14:paraId="2E22D3FB" w14:textId="4A593F59"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• the </w:t>
      </w:r>
      <w:r>
        <w:rPr>
          <w:rFonts w:ascii="Aptos" w:eastAsia="Aptos" w:hAnsi="Aptos" w:cs="Aptos"/>
          <w:sz w:val="20"/>
          <w:szCs w:val="20"/>
        </w:rPr>
        <w:t xml:space="preserve">{{deliverable}}</w:t>
      </w:r>
      <w:r>
        <w:rPr>
          <w:rFonts w:ascii="Aptos" w:eastAsia="Aptos" w:hAnsi="Aptos" w:cs="Aptos"/>
          <w:sz w:val="20"/>
          <w:szCs w:val="20"/>
        </w:rPr>
        <w:t xml:space="preserve"> displays correctly in the browsers and on the screens set out in section 2.3;</w:t>
      </w:r>
    </w:p>
    <w:p w14:paraId="4EC26DCB" w14:textId="71153E49"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• each form delivers to the email address the Client nominates, and links and navigation work;</w:t>
      </w:r>
    </w:p>
    <w:p w14:paraId="67D1C8F2" w14:textId="39AF17D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• each item listed in section 2.1 is in place.</w:t>
      </w:r>
    </w:p>
    <w:p w14:paraId="51689B4C" w14:textId="7CB97DA2" w:rsidR="00FB3DFF" w:rsidRDefault="00FB3DFF">
      <w:pPr>
        <w:spacing w:line="140" w:lineRule="auto"/>
        <w:jc w:val="both"/>
        <w:rPr>
          <w:rFonts w:ascii="Aptos" w:eastAsia="Aptos" w:hAnsi="Aptos" w:cs="Aptos"/>
          <w:sz w:val="20"/>
          <w:szCs w:val="20"/>
        </w:rPr>
      </w:pPr>
    </w:p>
    <w:p w14:paraId="3DF3E0BF" w14:textId="4BF2403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look approved at design freeze is not re-opened at acceptance. When the Provider notifies the Client that the </w:t>
      </w:r>
      <w:r>
        <w:rPr>
          <w:rFonts w:ascii="Aptos" w:eastAsia="Aptos" w:hAnsi="Aptos" w:cs="Aptos"/>
          <w:sz w:val="20"/>
          <w:szCs w:val="20"/>
        </w:rPr>
        <w:t xml:space="preserve">{{deliverable}}</w:t>
      </w:r>
      <w:r>
        <w:rPr>
          <w:rFonts w:ascii="Aptos" w:eastAsia="Aptos" w:hAnsi="Aptos" w:cs="Aptos"/>
          <w:sz w:val="20"/>
          <w:szCs w:val="20"/>
        </w:rPr>
        <w:t xml:space="preserve"> is ready for review, the Client has 5 business days to test it and either accept it in writing or provide a written list of anything that does not perform as described. The Provider will correct those items and return the </w:t>
      </w:r>
      <w:r>
        <w:rPr>
          <w:rFonts w:ascii="Aptos" w:eastAsia="Aptos" w:hAnsi="Aptos" w:cs="Aptos"/>
          <w:sz w:val="20"/>
          <w:szCs w:val="20"/>
        </w:rPr>
        <w:t xml:space="preserve">{{deliverable}}</w:t>
      </w:r>
      <w:r>
        <w:rPr>
          <w:rFonts w:ascii="Aptos" w:eastAsia="Aptos" w:hAnsi="Aptos" w:cs="Aptos"/>
          <w:sz w:val="20"/>
          <w:szCs w:val="20"/>
        </w:rPr>
        <w:t xml:space="preserve"> for re-testing, and each later round of testing has 3 business days.</w:t>
      </w:r>
    </w:p>
    <w:p w14:paraId="6253FD15" w14:textId="7FB1910F" w:rsidR="00FB3DFF" w:rsidRDefault="00FB3DFF">
      <w:pPr>
        <w:spacing w:line="140" w:lineRule="auto"/>
        <w:jc w:val="both"/>
        <w:rPr>
          <w:rFonts w:ascii="Aptos" w:eastAsia="Aptos" w:hAnsi="Aptos" w:cs="Aptos"/>
          <w:sz w:val="20"/>
          <w:szCs w:val="20"/>
        </w:rPr>
      </w:pPr>
    </w:p>
    <w:p w14:paraId="39F9C270" w14:textId="2F24677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does not respond within the time allowed, the Provider will send a reminder stating that the </w:t>
      </w:r>
      <w:r>
        <w:rPr>
          <w:rFonts w:ascii="Aptos" w:eastAsia="Aptos" w:hAnsi="Aptos" w:cs="Aptos"/>
          <w:sz w:val="20"/>
          <w:szCs w:val="20"/>
        </w:rPr>
        <w:t xml:space="preserve">{{deliverable}}</w:t>
      </w:r>
      <w:r>
        <w:rPr>
          <w:rFonts w:ascii="Aptos" w:eastAsia="Aptos" w:hAnsi="Aptos" w:cs="Aptos"/>
          <w:sz w:val="20"/>
          <w:szCs w:val="20"/>
        </w:rPr>
        <w:t xml:space="preserve"> will be deemed accepted. If the Client has still not responded 3 business days after that reminder, the </w:t>
      </w:r>
      <w:r>
        <w:rPr>
          <w:rFonts w:ascii="Aptos" w:eastAsia="Aptos" w:hAnsi="Aptos" w:cs="Aptos"/>
          <w:sz w:val="20"/>
          <w:szCs w:val="20"/>
        </w:rPr>
        <w:t xml:space="preserve">{{deliverable}}</w:t>
      </w:r>
      <w:r>
        <w:rPr>
          <w:rFonts w:ascii="Aptos" w:eastAsia="Aptos" w:hAnsi="Aptos" w:cs="Aptos"/>
          <w:sz w:val="20"/>
          <w:szCs w:val="20"/>
        </w:rPr>
        <w:t xml:space="preserve"> is deemed accepted. Any item that does not perform as described remains to be corrected under section 4.1.</w:t>
      </w:r>
    </w:p>
    <w:p w14:paraId="462E307D" w14:textId="7A67033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{{/website}}</w:t>
      </w:r>
    </w:p>
    <w:p w14:paraId="59574D4D" w14:textId="7FE4F7E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{{?web_app|mobile_app|web_mobile_app}}</w:t>
      </w:r>
    </w:p>
    <w:p w14:paraId="4839BA87" w14:textId="7ADE6266"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3.4 User acceptance testing (UAT)</w:t>
      </w:r>
    </w:p>
    <w:p w14:paraId="2EC23B3F" w14:textId="52A2F65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t>
      </w:r>
      <w:r>
        <w:rPr>
          <w:rFonts w:ascii="Aptos" w:eastAsia="Aptos" w:hAnsi="Aptos" w:cs="Aptos"/>
          <w:sz w:val="20"/>
          <w:szCs w:val="20"/>
        </w:rPr>
        <w:t xml:space="preserve">{{deliverable}}</w:t>
      </w:r>
      <w:r>
        <w:rPr>
          <w:rFonts w:ascii="Aptos" w:eastAsia="Aptos" w:hAnsi="Aptos" w:cs="Aptos"/>
          <w:sz w:val="20"/>
          <w:szCs w:val="20"/>
        </w:rPr>
        <w:t xml:space="preserve"> is accepted when it performs as described in section 2.0.</w:t>
      </w:r>
    </w:p>
    <w:p w14:paraId="7F29CA43" w14:textId="424C8436" w:rsidR="00FB3DFF" w:rsidRDefault="00FB3DFF">
      <w:pPr>
        <w:spacing w:line="140" w:lineRule="auto"/>
        <w:jc w:val="both"/>
        <w:rPr>
          <w:rFonts w:ascii="Aptos" w:eastAsia="Aptos" w:hAnsi="Aptos" w:cs="Aptos"/>
          <w:sz w:val="20"/>
          <w:szCs w:val="20"/>
        </w:rPr>
      </w:pPr>
    </w:p>
    <w:p w14:paraId="3D5E4E7C" w14:textId="44D4355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Before development begins, the parties will agree in writing the acceptance criteria for each feature listed in section 2.2: what a user of the </w:t>
      </w:r>
      <w:r>
        <w:rPr>
          <w:rFonts w:ascii="Aptos" w:eastAsia="Aptos" w:hAnsi="Aptos" w:cs="Aptos"/>
          <w:sz w:val="20"/>
          <w:szCs w:val="20"/>
        </w:rPr>
        <w:t xml:space="preserve">{{deliverable}}</w:t>
      </w:r>
      <w:r>
        <w:rPr>
          <w:rFonts w:ascii="Aptos" w:eastAsia="Aptos" w:hAnsi="Aptos" w:cs="Aptos"/>
          <w:sz w:val="20"/>
          <w:szCs w:val="20"/>
        </w:rPr>
        <w:t xml:space="preserve"> does, and what should happen. The criteria become part of that feature’s description, and may include performance or capacity targets, such as a number of users at the same time. User acceptance testing (UAT) checks the </w:t>
      </w:r>
      <w:r>
        <w:rPr>
          <w:rFonts w:ascii="Aptos" w:eastAsia="Aptos" w:hAnsi="Aptos" w:cs="Aptos"/>
          <w:sz w:val="20"/>
          <w:szCs w:val="20"/>
        </w:rPr>
        <w:t xml:space="preserve">{{deliverable}}</w:t>
      </w:r>
      <w:r>
        <w:rPr>
          <w:rFonts w:ascii="Aptos" w:eastAsia="Aptos" w:hAnsi="Aptos" w:cs="Aptos"/>
          <w:sz w:val="20"/>
          <w:szCs w:val="20"/>
        </w:rPr>
        <w:t xml:space="preserve"> against them, and a feature without agreed criteria is tested against its description in section 2.2.</w:t>
      </w:r>
    </w:p>
    <w:p w14:paraId="5DAC864F" w14:textId="203B0F71"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{{/web_app|mobile_app|web_mobile_app}}</w:t>
      </w:r>
    </w:p>
    <w:p w14:paraId="4AA647EF" w14:textId="2BA5248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w:t>
      </w:r>
    </w:p>
    <w:p w14:paraId="26766164" w14:textId="4E323278" w:rsidR="00FB3DFF" w:rsidRDefault="00FB3DFF">
      <w:pPr>
        <w:spacing w:line="140" w:lineRule="auto"/>
        <w:jc w:val="both"/>
        <w:rPr>
          <w:rFonts w:ascii="Aptos" w:eastAsia="Aptos" w:hAnsi="Aptos" w:cs="Aptos"/>
          <w:sz w:val="20"/>
          <w:szCs w:val="20"/>
        </w:rPr>
      </w:pPr>
    </w:p>
    <w:p w14:paraId="740AF3AB" w14:textId="32448F6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Client’s nominated testers carry out UAT with the Client’s own test data and devices, in the browsers set out in section 2.3, in a testing environment separate from the live </w:t>
      </w:r>
      <w:r>
        <w:rPr>
          <w:rFonts w:ascii="Aptos" w:eastAsia="Aptos" w:hAnsi="Aptos" w:cs="Aptos"/>
          <w:sz w:val="20"/>
          <w:szCs w:val="20"/>
        </w:rPr>
        <w:t xml:space="preserve">{{deliverable}}</w:t>
      </w:r>
      <w:r>
        <w:rPr>
          <w:rFonts w:ascii="Aptos" w:eastAsia="Aptos" w:hAnsi="Aptos" w:cs="Aptos"/>
          <w:sz w:val="20"/>
          <w:szCs w:val="20"/>
        </w:rPr>
        <w:t xml:space="preserve">.</w:t>
      </w:r>
    </w:p>
    <w:p w14:paraId="235D0EB1" w14:textId="202176D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w:t>
      </w:r>
    </w:p>
    <w:p w14:paraId="3D74E4B0" w14:textId="354D633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{{?mobile_app}}</w:t>
      </w:r>
    </w:p>
    <w:p w14:paraId="2968FCA5" w14:textId="60B2CD53" w:rsidR="00FB3DFF" w:rsidRDefault="00FB3DFF">
      <w:pPr>
        <w:spacing w:line="140" w:lineRule="auto"/>
        <w:jc w:val="both"/>
        <w:rPr>
          <w:rFonts w:ascii="Aptos" w:eastAsia="Aptos" w:hAnsi="Aptos" w:cs="Aptos"/>
          <w:sz w:val="20"/>
          <w:szCs w:val="20"/>
        </w:rPr>
      </w:pPr>
    </w:p>
    <w:p w14:paraId="29E3F6E7" w14:textId="7DFF902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Client’s nominated testers carry out UAT with the Client’s own test data, on the Client’s own devices of the kinds set out in section 2.3, using test builds sent through TestFlight and Google Play’s testing tracks.</w:t>
      </w:r>
    </w:p>
    <w:p w14:paraId="154E0FB1" w14:textId="1E37518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{{/mobile_app}}</w:t>
      </w:r>
    </w:p>
    <w:p w14:paraId="503DB944" w14:textId="7537B45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{{?web_mobile_app}}</w:t>
      </w:r>
    </w:p>
    <w:p w14:paraId="35046D0D" w14:textId="70827E34" w:rsidR="00FB3DFF" w:rsidRDefault="00FB3DFF">
      <w:pPr>
        <w:spacing w:line="140" w:lineRule="auto"/>
        <w:jc w:val="both"/>
        <w:rPr>
          <w:rFonts w:ascii="Aptos" w:eastAsia="Aptos" w:hAnsi="Aptos" w:cs="Aptos"/>
          <w:sz w:val="20"/>
          <w:szCs w:val="20"/>
        </w:rPr>
      </w:pPr>
    </w:p>
    <w:p w14:paraId="32D46AB7" w14:textId="6B80517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Client’s nominated testers carry out UAT with the Client’s own test data, in three parts: the web app in the browsers set out in section 2.3, in a testing environment separate from the live one; the mobile app on the Client’s own devices of the kinds set out there, using test builds sent through TestFlight and Google Play’s testing tracks; and an end-to-end test of the main journeys across both, such as a record created in one appearing in the other.</w:t>
      </w:r>
    </w:p>
    <w:p w14:paraId="7A7458B1" w14:textId="578D95D7" w:rsidR="00FB3DFF" w:rsidRDefault="00FB3DFF">
      <w:pPr>
        <w:spacing w:line="140" w:lineRule="auto"/>
        <w:jc w:val="both"/>
        <w:rPr>
          <w:rFonts w:ascii="Aptos" w:eastAsia="Aptos" w:hAnsi="Aptos" w:cs="Aptos"/>
          <w:sz w:val="20"/>
          <w:szCs w:val="20"/>
        </w:rPr>
      </w:pPr>
    </w:p>
    <w:p w14:paraId="63F7ED7B" w14:textId="4A4D40E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web and mobile app is accepted as a whole. A critical or major defect in either part holds up sign-off of both, and the final payment falls due on acceptance of the whole.</w:t>
      </w:r>
    </w:p>
    <w:p w14:paraId="48E80F8D" w14:textId="6B08BCD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{{/web_mobile_app}}</w:t>
      </w:r>
    </w:p>
    <w:p w14:paraId="2760F777" w14:textId="4294F21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{{?web_app|mobile_app|web_mobile_app}}</w:t>
      </w:r>
    </w:p>
    <w:p w14:paraId="409E0768" w14:textId="4CF6C976" w:rsidR="00FB3DFF" w:rsidRDefault="00FB3DFF">
      <w:pPr>
        <w:spacing w:line="140" w:lineRule="auto"/>
        <w:jc w:val="both"/>
        <w:rPr>
          <w:rFonts w:ascii="Aptos" w:eastAsia="Aptos" w:hAnsi="Aptos" w:cs="Aptos"/>
          <w:sz w:val="20"/>
          <w:szCs w:val="20"/>
        </w:rPr>
      </w:pPr>
    </w:p>
    <w:p w14:paraId="15AA7623" w14:textId="1E06DA75"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Only critical and major defects hold up sign-off: the </w:t>
      </w:r>
      <w:r>
        <w:rPr>
          <w:rFonts w:ascii="Aptos" w:eastAsia="Aptos" w:hAnsi="Aptos" w:cs="Aptos"/>
          <w:sz w:val="20"/>
          <w:szCs w:val="20"/>
        </w:rPr>
        <w:t xml:space="preserve">{{deliverable}}</w:t>
      </w:r>
      <w:r>
        <w:rPr>
          <w:rFonts w:ascii="Aptos" w:eastAsia="Aptos" w:hAnsi="Aptos" w:cs="Aptos"/>
          <w:sz w:val="20"/>
          <w:szCs w:val="20"/>
        </w:rPr>
        <w:t xml:space="preserve"> being unavailable, data being lost or exposed, or a feature listed in section 2.2 not working with no reasonable workaround. If every item on the Client’s list is minor, the </w:t>
      </w:r>
      <w:r>
        <w:rPr>
          <w:rFonts w:ascii="Aptos" w:eastAsia="Aptos" w:hAnsi="Aptos" w:cs="Aptos"/>
          <w:sz w:val="20"/>
          <w:szCs w:val="20"/>
        </w:rPr>
        <w:t xml:space="preserve">{{deliverable}}</w:t>
      </w:r>
      <w:r>
        <w:rPr>
          <w:rFonts w:ascii="Aptos" w:eastAsia="Aptos" w:hAnsi="Aptos" w:cs="Aptos"/>
          <w:sz w:val="20"/>
          <w:szCs w:val="20"/>
        </w:rPr>
        <w:t xml:space="preserve"> is accepted, and the Provider corrects those items under section 4.1 before the included support period ends. The Client’s written sign-off at the end of UAT is acceptance under this section.</w:t>
      </w:r>
    </w:p>
    <w:p w14:paraId="59D00C9F" w14:textId="18A0FD02" w:rsidR="00FB3DFF" w:rsidRDefault="00FB3DFF">
      <w:pPr>
        <w:spacing w:line="140" w:lineRule="auto"/>
        <w:jc w:val="both"/>
        <w:rPr>
          <w:rFonts w:ascii="Aptos" w:eastAsia="Aptos" w:hAnsi="Aptos" w:cs="Aptos"/>
          <w:sz w:val="20"/>
          <w:szCs w:val="20"/>
        </w:rPr>
      </w:pPr>
    </w:p>
    <w:p w14:paraId="7A70040D" w14:textId="64862E1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When the Provider notifies the Client that the </w:t>
      </w:r>
      <w:r>
        <w:rPr>
          <w:rFonts w:ascii="Aptos" w:eastAsia="Aptos" w:hAnsi="Aptos" w:cs="Aptos"/>
          <w:sz w:val="20"/>
          <w:szCs w:val="20"/>
        </w:rPr>
        <w:t xml:space="preserve">{{deliverable}}</w:t>
      </w:r>
      <w:r>
        <w:rPr>
          <w:rFonts w:ascii="Aptos" w:eastAsia="Aptos" w:hAnsi="Aptos" w:cs="Aptos"/>
          <w:sz w:val="20"/>
          <w:szCs w:val="20"/>
        </w:rPr>
        <w:t xml:space="preserve"> is ready for UAT, the Client has 10 business days to test it and either accept it in writing or provide a written list of anything that does not perform as described. The Provider will correct those items and return the </w:t>
      </w:r>
      <w:r>
        <w:rPr>
          <w:rFonts w:ascii="Aptos" w:eastAsia="Aptos" w:hAnsi="Aptos" w:cs="Aptos"/>
          <w:sz w:val="20"/>
          <w:szCs w:val="20"/>
        </w:rPr>
        <w:t xml:space="preserve">{{deliverable}}</w:t>
      </w:r>
      <w:r>
        <w:rPr>
          <w:rFonts w:ascii="Aptos" w:eastAsia="Aptos" w:hAnsi="Aptos" w:cs="Aptos"/>
          <w:sz w:val="20"/>
          <w:szCs w:val="20"/>
        </w:rPr>
        <w:t xml:space="preserve"> for re-testing, and each later round of testing has 5 business days.</w:t>
      </w:r>
    </w:p>
    <w:p w14:paraId="2A3F1F2F" w14:textId="743E9700" w:rsidR="00FB3DFF" w:rsidRDefault="00FB3DFF">
      <w:pPr>
        <w:spacing w:line="140" w:lineRule="auto"/>
        <w:jc w:val="both"/>
        <w:rPr>
          <w:rFonts w:ascii="Aptos" w:eastAsia="Aptos" w:hAnsi="Aptos" w:cs="Aptos"/>
          <w:sz w:val="20"/>
          <w:szCs w:val="20"/>
        </w:rPr>
      </w:pPr>
    </w:p>
    <w:p w14:paraId="6F479879" w14:textId="60CBD71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does not respond within the time allowed, the Provider will send a reminder stating that the </w:t>
      </w:r>
      <w:r>
        <w:rPr>
          <w:rFonts w:ascii="Aptos" w:eastAsia="Aptos" w:hAnsi="Aptos" w:cs="Aptos"/>
          <w:sz w:val="20"/>
          <w:szCs w:val="20"/>
        </w:rPr>
        <w:t xml:space="preserve">{{deliverable}}</w:t>
      </w:r>
      <w:r>
        <w:rPr>
          <w:rFonts w:ascii="Aptos" w:eastAsia="Aptos" w:hAnsi="Aptos" w:cs="Aptos"/>
          <w:sz w:val="20"/>
          <w:szCs w:val="20"/>
        </w:rPr>
        <w:t xml:space="preserve"> will be deemed accepted. If the Client has still not responded 5 business days after that reminder, the </w:t>
      </w:r>
      <w:r>
        <w:rPr>
          <w:rFonts w:ascii="Aptos" w:eastAsia="Aptos" w:hAnsi="Aptos" w:cs="Aptos"/>
          <w:sz w:val="20"/>
          <w:szCs w:val="20"/>
        </w:rPr>
        <w:t xml:space="preserve">{{deliverable}}</w:t>
      </w:r>
      <w:r>
        <w:rPr>
          <w:rFonts w:ascii="Aptos" w:eastAsia="Aptos" w:hAnsi="Aptos" w:cs="Aptos"/>
          <w:sz w:val="20"/>
          <w:szCs w:val="20"/>
        </w:rPr>
        <w:t xml:space="preserve"> is deemed accepted. Any item that does not perform as described remains to be corrected under section 4.1.</w:t>
      </w:r>
    </w:p>
    <w:p w14:paraId="37CBA401" w14:textId="39CD5EC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{{/web_app|mobile_app|web_mobile_app}}</w:t>
      </w:r>
    </w:p>
    <w:p w14:paraId="3B098C5A" w14:textId="2FAB5A16" w:rsidR="00FB3DFF" w:rsidRDefault="00FB3DFF">
      <w:pPr>
        <w:spacing w:line="140" w:lineRule="auto"/>
        <w:jc w:val="both"/>
        <w:rPr>
          <w:rFonts w:ascii="Aptos" w:eastAsia="Aptos" w:hAnsi="Aptos" w:cs="Aptos"/>
          <w:sz w:val="20"/>
          <w:szCs w:val="20"/>
        </w:rPr>
      </w:pPr>
    </w:p>
    <w:p w14:paraId="39D94B17" w14:textId="475D733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A request to change something that performs as described is an addition or alteration under section 6.0, not a failure of acceptance. If the Client publishes the </w:t>
      </w:r>
      <w:r>
        <w:rPr>
          <w:rFonts w:ascii="Aptos" w:eastAsia="Aptos" w:hAnsi="Aptos" w:cs="Aptos"/>
          <w:sz w:val="20"/>
          <w:szCs w:val="20"/>
        </w:rPr>
        <w:t xml:space="preserve">{{deliverable}}</w:t>
      </w:r>
      <w:r>
        <w:rPr>
          <w:rFonts w:ascii="Aptos" w:eastAsia="Aptos" w:hAnsi="Aptos" w:cs="Aptos"/>
          <w:sz w:val="20"/>
          <w:szCs w:val="20"/>
        </w:rPr>
        <w:t xml:space="preserve"> or uses it in its business, it is accepted.</w:t>
      </w:r>
    </w:p>
    <w:p w14:paraId="775A04E3" w14:textId="4EE38C81"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3.5 Handover</w:t>
      </w:r>
    </w:p>
    <w:p w14:paraId="14F5AF87" w14:textId="414E479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{{?website}}</w:t>
      </w:r>
    </w:p>
    <w:p w14:paraId="51A2CD16" w14:textId="45C8A8E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 acceptance, the Provider will give the Client full administrator access to the </w:t>
      </w:r>
      <w:r>
        <w:rPr>
          <w:rFonts w:ascii="Aptos" w:eastAsia="Aptos" w:hAnsi="Aptos" w:cs="Aptos"/>
          <w:sz w:val="20"/>
          <w:szCs w:val="20"/>
        </w:rPr>
        <w:t xml:space="preserve">{{deliverable}}</w:t>
      </w:r>
      <w:r>
        <w:rPr>
          <w:rFonts w:ascii="Aptos" w:eastAsia="Aptos" w:hAnsi="Aptos" w:cs="Aptos"/>
          <w:sz w:val="20"/>
          <w:szCs w:val="20"/>
        </w:rPr>
        <w:t xml:space="preserve">, a handover session, and guidance on publishing and updating content.</w:t>
      </w:r>
    </w:p>
    <w:p w14:paraId="32952475" w14:textId="545BB3A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{{/website}}</w:t>
      </w:r>
    </w:p>
    <w:p w14:paraId="7F331F85" w14:textId="484CE26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{{?web_app|mobile_app|web_mobile_app}}</w:t>
      </w:r>
    </w:p>
    <w:p w14:paraId="49204E36" w14:textId="1F6DD517" w:rsidR="00FB3DFF" w:rsidRDefault="00FB3DFF">
      <w:pPr>
        <w:spacing w:line="140" w:lineRule="auto"/>
        <w:jc w:val="both"/>
        <w:rPr>
          <w:rFonts w:ascii="Aptos" w:eastAsia="Aptos" w:hAnsi="Aptos" w:cs="Aptos"/>
          <w:sz w:val="20"/>
          <w:szCs w:val="20"/>
        </w:rPr>
      </w:pPr>
    </w:p>
    <w:p w14:paraId="52420769" w14:textId="773E984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 acceptance, the Provider will give the Client administrator access to any admin area the </w:t>
      </w:r>
      <w:r>
        <w:rPr>
          <w:rFonts w:ascii="Aptos" w:eastAsia="Aptos" w:hAnsi="Aptos" w:cs="Aptos"/>
          <w:sz w:val="20"/>
          <w:szCs w:val="20"/>
        </w:rPr>
        <w:t xml:space="preserve">{{deliverable}}</w:t>
      </w:r>
      <w:r>
        <w:rPr>
          <w:rFonts w:ascii="Aptos" w:eastAsia="Aptos" w:hAnsi="Aptos" w:cs="Aptos"/>
          <w:sz w:val="20"/>
          <w:szCs w:val="20"/>
        </w:rPr>
        <w:t xml:space="preserve"> has, and a handover session.</w:t>
      </w:r>
    </w:p>
    <w:p w14:paraId="30CDEC5C" w14:textId="3BA8A26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{{/web_app|mobile_app|web_mobile_app}}</w:t>
      </w:r>
    </w:p>
    <w:p w14:paraId="30CCC012" w14:textId="20112924" w:rsidR="00FB3DFF" w:rsidRDefault="00FB3DFF">
      <w:pPr>
        <w:spacing w:line="140" w:lineRule="auto"/>
        <w:jc w:val="both"/>
        <w:rPr>
          <w:rFonts w:ascii="Aptos" w:eastAsia="Aptos" w:hAnsi="Aptos" w:cs="Aptos"/>
          <w:sz w:val="20"/>
          <w:szCs w:val="20"/>
        </w:rPr>
      </w:pPr>
    </w:p>
    <w:p w14:paraId="38D9DBB4" w14:textId="77AFD6D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all invoices have been paid in full, the Provider will hand over the following, where they apply to the </w:t>
      </w:r>
      <w:r>
        <w:rPr>
          <w:rFonts w:ascii="Aptos" w:eastAsia="Aptos" w:hAnsi="Aptos" w:cs="Aptos"/>
          <w:sz w:val="20"/>
          <w:szCs w:val="20"/>
        </w:rPr>
        <w:t xml:space="preserve">{{deliverable}}</w:t>
      </w:r>
      <w:r>
        <w:rPr>
          <w:rFonts w:ascii="Aptos" w:eastAsia="Aptos" w:hAnsi="Aptos" w:cs="Aptos"/>
          <w:sz w:val="20"/>
          <w:szCs w:val="20"/>
        </w:rPr>
        <w:t xml:space="preserve">:</w:t>
      </w:r>
    </w:p>
    <w:p w14:paraId="4B382FCD" w14:textId="245249F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{{?website}}</w:t>
      </w:r>
    </w:p>
    <w:p w14:paraId="6357EC28" w14:textId="1EC1E70E" w:rsidR="00FB3DFF" w:rsidRDefault="00FB3DFF">
      <w:pPr>
        <w:spacing w:line="80" w:lineRule="auto"/>
        <w:jc w:val="both"/>
        <w:rPr>
          <w:rFonts w:ascii="Aptos" w:eastAsia="Aptos" w:hAnsi="Aptos" w:cs="Aptos"/>
          <w:sz w:val="20"/>
          <w:szCs w:val="20"/>
        </w:rPr>
      </w:pPr>
    </w:p>
    <w:p w14:paraId="33DC2E43" w14:textId="4120E7B0"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• the </w:t>
      </w:r>
      <w:r>
        <w:rPr>
          <w:rFonts w:ascii="Aptos" w:eastAsia="Aptos" w:hAnsi="Aptos" w:cs="Aptos"/>
          <w:sz w:val="20"/>
          <w:szCs w:val="20"/>
        </w:rPr>
        <w:t xml:space="preserve">{{deliverable}}</w:t>
      </w:r>
      <w:r>
        <w:rPr>
          <w:rFonts w:ascii="Aptos" w:eastAsia="Aptos" w:hAnsi="Aptos" w:cs="Aptos"/>
          <w:sz w:val="20"/>
          <w:szCs w:val="20"/>
        </w:rPr>
        <w:t xml:space="preserve">’s files and an export of its database;</w:t>
      </w:r>
    </w:p>
    <w:p w14:paraId="646D6A05" w14:textId="478AE25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{{/website}}</w:t>
      </w:r>
    </w:p>
    <w:p w14:paraId="5D044A62" w14:textId="628F5CA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{{?web_app|mobile_app|web_mobile_app}}</w:t>
      </w:r>
    </w:p>
    <w:p w14:paraId="70D233F2" w14:textId="158DD4A2"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• the source code, by transferring the repository to an account in the Client’s name or giving the Client a complete copy of it;</w:t>
      </w:r>
    </w:p>
    <w:p w14:paraId="6C8F3465" w14:textId="46CE3F0D"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• an export of the production database and the most recent backup;</w:t>
      </w:r>
    </w:p>
    <w:p w14:paraId="1B9EE087" w14:textId="618DB938"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• technical documentation and deployment instructions covering how the </w:t>
      </w:r>
      <w:r>
        <w:rPr>
          <w:rFonts w:ascii="Aptos" w:eastAsia="Aptos" w:hAnsi="Aptos" w:cs="Aptos"/>
          <w:sz w:val="20"/>
          <w:szCs w:val="20"/>
        </w:rPr>
        <w:t xml:space="preserve">{{deliverable}}</w:t>
      </w:r>
      <w:r>
        <w:rPr>
          <w:rFonts w:ascii="Aptos" w:eastAsia="Aptos" w:hAnsi="Aptos" w:cs="Aptos"/>
          <w:sz w:val="20"/>
          <w:szCs w:val="20"/>
        </w:rPr>
        <w:t xml:space="preserve"> is built, configured and deployed;</w:t>
      </w:r>
    </w:p>
    <w:p w14:paraId="4A05B863" w14:textId="1CF1E18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{{/web_app|mobile_app|web_mobile_app}}</w:t>
      </w:r>
    </w:p>
    <w:p w14:paraId="6F35CC3E" w14:textId="1FC88D21"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{{?mobile_app|web_mobile_app}}</w:t>
      </w:r>
    </w:p>
    <w:p w14:paraId="1D98E216" w14:textId="262284F2"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• the signing certificates, upload keys and other app store credentials the Provider created under the Client’s developer accounts;</w:t>
      </w:r>
    </w:p>
    <w:p w14:paraId="3D5408C7" w14:textId="1B709525"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{{/mobile_app|web_mobile_app}}</w:t>
      </w:r>
    </w:p>
    <w:p w14:paraId="29A3E7C6" w14:textId="5FC3AB9D"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• any credentials the Provider holds for the domain, hosting, analytics and other accounts held in the Client’s name, with the Provider’s own access removed when the Client asks;</w:t>
      </w:r>
    </w:p>
    <w:p w14:paraId="1B13A30C" w14:textId="457D7693"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• a list of the open-source and third-party components used, with their licence notices;</w:t>
      </w:r>
    </w:p>
    <w:p w14:paraId="62C7FA87" w14:textId="4D9E433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• a list of the Provider’s pre-existing tools and components used, which remain the Provider’s under section 11.0 and are licensed to the Client.</w:t>
      </w:r>
    </w:p>
    <w:p w14:paraId="5F939E61" w14:textId="34DC5AE9" w:rsidR="00FB3DFF" w:rsidRDefault="00FB3DFF">
      <w:pPr>
        <w:spacing w:line="140" w:lineRule="auto"/>
        <w:jc w:val="both"/>
        <w:rPr>
          <w:rFonts w:ascii="Aptos" w:eastAsia="Aptos" w:hAnsi="Aptos" w:cs="Aptos"/>
          <w:sz w:val="20"/>
          <w:szCs w:val="20"/>
        </w:rPr>
      </w:pPr>
    </w:p>
    <w:p w14:paraId="2D59DC4E" w14:textId="2CC384D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Accounts held in the Client’s name, and the Client’s content and data, remain the Client’s throughout and are never withheld. The Provider’s working design files are not part of the handover, and the Client’s ownership of the design under section 11.0 is unaffected.</w:t>
      </w:r>
    </w:p>
    <w:p w14:paraId="59A89194" w14:textId="3CBD20E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{{?online_store}}</w:t>
      </w:r>
    </w:p>
    <w:p w14:paraId="667BEBCD" w14:textId="6A8179D1"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3.6 Online store</w:t>
      </w:r>
    </w:p>
    <w:p w14:paraId="60AF676F" w14:textId="66F4B83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online store takes payments through a payment gateway, such as PayHere, WebXPay or the Client’s bank, under a merchant account held in the Client’s name. Obtaining the gateway’s approval of that account is the Client’s responsibility, and any delay in that approval is a delay on the Client’s side under section 15.0. Card details are entered on the gateway’s systems and held by the gateway, and the </w:t>
      </w:r>
      <w:r>
        <w:rPr>
          <w:rFonts w:ascii="Aptos" w:eastAsia="Aptos" w:hAnsi="Aptos" w:cs="Aptos"/>
          <w:sz w:val="20"/>
          <w:szCs w:val="20"/>
        </w:rPr>
        <w:t xml:space="preserve">{{deliverable}}</w:t>
      </w:r>
      <w:r>
        <w:rPr>
          <w:rFonts w:ascii="Aptos" w:eastAsia="Aptos" w:hAnsi="Aptos" w:cs="Aptos"/>
          <w:sz w:val="20"/>
          <w:szCs w:val="20"/>
        </w:rPr>
        <w:t xml:space="preserve"> does not store card numbers. The gateway’s fees are borne by the Client under section 5.0.</w:t>
      </w:r>
    </w:p>
    <w:p w14:paraId="75A6A078" w14:textId="2136BEF2" w:rsidR="00FB3DFF" w:rsidRDefault="00FB3DFF">
      <w:pPr>
        <w:spacing w:line="140" w:lineRule="auto"/>
        <w:jc w:val="both"/>
        <w:rPr>
          <w:rFonts w:ascii="Aptos" w:eastAsia="Aptos" w:hAnsi="Aptos" w:cs="Aptos"/>
          <w:sz w:val="20"/>
          <w:szCs w:val="20"/>
        </w:rPr>
      </w:pPr>
    </w:p>
    <w:p w14:paraId="6B4EABE6" w14:textId="58D0B25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supplies its products, prices, delivery and collection rules, and its terms of sale and refund policy, and is responsible for that content under section 7.0. The Provider will add up to </w:t>
      </w:r>
      <w:r>
        <w:rPr>
          <w:rFonts w:ascii="Aptos" w:eastAsia="Aptos" w:hAnsi="Aptos" w:cs="Aptos"/>
          <w:sz w:val="20"/>
          <w:szCs w:val="20"/>
        </w:rPr>
        <w:t xml:space="preserve">{{scope.store_products}}</w:t>
      </w:r>
      <w:r>
        <w:rPr>
          <w:rFonts w:ascii="Aptos" w:eastAsia="Aptos" w:hAnsi="Aptos" w:cs="Aptos"/>
          <w:sz w:val="20"/>
          <w:szCs w:val="20"/>
        </w:rPr>
        <w:t xml:space="preserve"> products to the store from a spreadsheet the Client supplies. Further products may be added by the Client or quoted separately under section 6.0.</w:t>
      </w:r>
    </w:p>
    <w:p w14:paraId="6024BECF" w14:textId="20C329F7" w:rsidR="00FB3DFF" w:rsidRDefault="00FB3DFF">
      <w:pPr>
        <w:spacing w:line="140" w:lineRule="auto"/>
        <w:jc w:val="both"/>
        <w:rPr>
          <w:rFonts w:ascii="Aptos" w:eastAsia="Aptos" w:hAnsi="Aptos" w:cs="Aptos"/>
          <w:sz w:val="20"/>
          <w:szCs w:val="20"/>
        </w:rPr>
      </w:pPr>
    </w:p>
    <w:p w14:paraId="35A5B0A9" w14:textId="2B632E6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the store is live, orders, payments, refunds and customer service are the Client’s responsibility. The Provider is not responsible for the payment gateway’s availability, fees or decisions, including any hold it places on payments.</w:t>
      </w:r>
    </w:p>
    <w:p w14:paraId="28F3CA86" w14:textId="4E66546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{{/online_store}}</w:t>
      </w:r>
    </w:p>
    <w:p w14:paraId="71671171" w14:textId="313D809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{{?web_app|mobile_app|web_mobile_app}}</w:t>
      </w:r>
    </w:p>
    <w:p w14:paraId="15626F83" w14:textId="2869670B"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3.6 Environments, security and source code</w:t>
      </w:r>
    </w:p>
    <w:p w14:paraId="5E20E08F" w14:textId="43987C7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builds and tests the </w:t>
      </w:r>
      <w:r>
        <w:rPr>
          <w:rFonts w:ascii="Aptos" w:eastAsia="Aptos" w:hAnsi="Aptos" w:cs="Aptos"/>
          <w:sz w:val="20"/>
          <w:szCs w:val="20"/>
        </w:rPr>
        <w:t xml:space="preserve">{{deliverable}}</w:t>
      </w:r>
      <w:r>
        <w:rPr>
          <w:rFonts w:ascii="Aptos" w:eastAsia="Aptos" w:hAnsi="Aptos" w:cs="Aptos"/>
          <w:sz w:val="20"/>
          <w:szCs w:val="20"/>
        </w:rPr>
        <w:t xml:space="preserve"> in its own development and testing environments, and keeps the source code in a repository it manages until it is handed over under section 3.5. On request, the Provider will give the Client read access to the repository during the build.</w:t>
      </w:r>
    </w:p>
    <w:p w14:paraId="73EC586C" w14:textId="728C6E3F" w:rsidR="00FB3DFF" w:rsidRDefault="00FB3DFF">
      <w:pPr>
        <w:spacing w:line="140" w:lineRule="auto"/>
        <w:jc w:val="both"/>
        <w:rPr>
          <w:rFonts w:ascii="Aptos" w:eastAsia="Aptos" w:hAnsi="Aptos" w:cs="Aptos"/>
          <w:sz w:val="20"/>
          <w:szCs w:val="20"/>
        </w:rPr>
      </w:pPr>
    </w:p>
    <w:p w14:paraId="7D932B1F" w14:textId="1ED0775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production environment, meaning the hosting, databases and other cloud services the </w:t>
      </w:r>
      <w:r>
        <w:rPr>
          <w:rFonts w:ascii="Aptos" w:eastAsia="Aptos" w:hAnsi="Aptos" w:cs="Aptos"/>
          <w:sz w:val="20"/>
          <w:szCs w:val="20"/>
        </w:rPr>
        <w:t xml:space="preserve">{{deliverable}}</w:t>
      </w:r>
      <w:r>
        <w:rPr>
          <w:rFonts w:ascii="Aptos" w:eastAsia="Aptos" w:hAnsi="Aptos" w:cs="Aptos"/>
          <w:sz w:val="20"/>
          <w:szCs w:val="20"/>
        </w:rPr>
        <w:t xml:space="preserve"> runs on once it is live, is set up in accounts in the Client’s name, and the Client pays those providers directly under section 5.0. The Provider requires administrator access to those accounts to build, deploy and support the </w:t>
      </w:r>
      <w:r>
        <w:rPr>
          <w:rFonts w:ascii="Aptos" w:eastAsia="Aptos" w:hAnsi="Aptos" w:cs="Aptos"/>
          <w:sz w:val="20"/>
          <w:szCs w:val="20"/>
        </w:rPr>
        <w:t xml:space="preserve">{{deliverable}}</w:t>
      </w:r>
      <w:r>
        <w:rPr>
          <w:rFonts w:ascii="Aptos" w:eastAsia="Aptos" w:hAnsi="Aptos" w:cs="Aptos"/>
          <w:sz w:val="20"/>
          <w:szCs w:val="20"/>
        </w:rPr>
        <w:t xml:space="preserve">. If that access is removed or limited, the Provider cannot deploy or support the </w:t>
      </w:r>
      <w:r>
        <w:rPr>
          <w:rFonts w:ascii="Aptos" w:eastAsia="Aptos" w:hAnsi="Aptos" w:cs="Aptos"/>
          <w:sz w:val="20"/>
          <w:szCs w:val="20"/>
        </w:rPr>
        <w:t xml:space="preserve">{{deliverable}}</w:t>
      </w:r>
      <w:r>
        <w:rPr>
          <w:rFonts w:ascii="Aptos" w:eastAsia="Aptos" w:hAnsi="Aptos" w:cs="Aptos"/>
          <w:sz w:val="20"/>
          <w:szCs w:val="20"/>
        </w:rPr>
        <w:t xml:space="preserve"> until it is restored, and any resulting delay is a delay on the Client’s side under section 15.0.</w:t>
      </w:r>
    </w:p>
    <w:p w14:paraId="12FA76F7" w14:textId="1518C692" w:rsidR="00FB3DFF" w:rsidRDefault="00FB3DFF">
      <w:pPr>
        <w:spacing w:line="140" w:lineRule="auto"/>
        <w:jc w:val="both"/>
        <w:rPr>
          <w:rFonts w:ascii="Aptos" w:eastAsia="Aptos" w:hAnsi="Aptos" w:cs="Aptos"/>
          <w:sz w:val="20"/>
          <w:szCs w:val="20"/>
        </w:rPr>
      </w:pPr>
    </w:p>
    <w:p w14:paraId="2FC05E59" w14:textId="2A964C2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t>
      </w:r>
      <w:r>
        <w:rPr>
          <w:rFonts w:ascii="Aptos" w:eastAsia="Aptos" w:hAnsi="Aptos" w:cs="Aptos"/>
          <w:sz w:val="20"/>
          <w:szCs w:val="20"/>
        </w:rPr>
        <w:t xml:space="preserve">{{deliverable}}</w:t>
      </w:r>
      <w:r>
        <w:rPr>
          <w:rFonts w:ascii="Aptos" w:eastAsia="Aptos" w:hAnsi="Aptos" w:cs="Aptos"/>
          <w:sz w:val="20"/>
          <w:szCs w:val="20"/>
        </w:rPr>
        <w:t xml:space="preserve"> uses encrypted connections, stores passwords only in hashed form, and gives each user only the access their role allows under the acceptance criteria. Automated daily backups of the production database are kept for at least 30 days.</w:t>
      </w:r>
    </w:p>
    <w:p w14:paraId="1731C2A7" w14:textId="27316FC7" w:rsidR="00FB3DFF" w:rsidRDefault="00FB3DFF">
      <w:pPr>
        <w:spacing w:line="140" w:lineRule="auto"/>
        <w:jc w:val="both"/>
        <w:rPr>
          <w:rFonts w:ascii="Aptos" w:eastAsia="Aptos" w:hAnsi="Aptos" w:cs="Aptos"/>
          <w:sz w:val="20"/>
          <w:szCs w:val="20"/>
        </w:rPr>
      </w:pPr>
    </w:p>
    <w:p w14:paraId="7086006B" w14:textId="71D985D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During the included support period, the Provider monitors error reports and responds to incidents under section 4.1. After it ends, monitoring, logs, security updates, backups and incident response are the Client’s responsibility, unless the Client takes ongoing support under that section.</w:t>
      </w:r>
    </w:p>
    <w:p w14:paraId="618023E1" w14:textId="29AC761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{{/web_app|mobile_app|web_mobile_app}}</w:t>
      </w:r>
    </w:p>
    <w:p w14:paraId="14B2BF77" w14:textId="5D03C52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{{?web_mobile_app}}</w:t>
      </w:r>
    </w:p>
    <w:p w14:paraId="548C4BC4" w14:textId="5D284842" w:rsidR="00FB3DFF" w:rsidRDefault="00FB3DFF">
      <w:pPr>
        <w:spacing w:line="140" w:lineRule="auto"/>
        <w:jc w:val="both"/>
        <w:rPr>
          <w:rFonts w:ascii="Aptos" w:eastAsia="Aptos" w:hAnsi="Aptos" w:cs="Aptos"/>
          <w:sz w:val="20"/>
          <w:szCs w:val="20"/>
        </w:rPr>
      </w:pPr>
    </w:p>
    <w:p w14:paraId="15D6A631" w14:textId="31E27F3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web app and the mobile app share one back end, meaning the application programming interface (API) and the database, in the Client’s production environment. The Provider builds the back end and releases changes to it and to both apps in step, so that a change to one does not break the other.</w:t>
      </w:r>
    </w:p>
    <w:p w14:paraId="78EDBA76" w14:textId="32C6673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{{/web_mobile_app}}</w:t>
      </w:r>
    </w:p>
    <w:p w14:paraId="475BC331" w14:textId="60FF34B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{{?web_app|mobile_app|web_mobile_app}}</w:t>
      </w:r>
    </w:p>
    <w:p w14:paraId="5E18352D" w14:textId="34464F16" w:rsidR="00FB3DFF" w:rsidRDefault="00FB3DFF">
      <w:pPr>
        <w:spacing w:line="140" w:lineRule="auto"/>
        <w:jc w:val="both"/>
        <w:rPr>
          <w:rFonts w:ascii="Aptos" w:eastAsia="Aptos" w:hAnsi="Aptos" w:cs="Aptos"/>
          <w:sz w:val="20"/>
          <w:szCs w:val="20"/>
        </w:rPr>
      </w:pPr>
    </w:p>
    <w:p w14:paraId="247CC8AB" w14:textId="1EF8C041"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t>
      </w:r>
      <w:r>
        <w:rPr>
          <w:rFonts w:ascii="Aptos" w:eastAsia="Aptos" w:hAnsi="Aptos" w:cs="Aptos"/>
          <w:sz w:val="20"/>
          <w:szCs w:val="20"/>
        </w:rPr>
        <w:t xml:space="preserve">{{deliverable}}</w:t>
      </w:r>
      <w:r>
        <w:rPr>
          <w:rFonts w:ascii="Aptos" w:eastAsia="Aptos" w:hAnsi="Aptos" w:cs="Aptos"/>
          <w:sz w:val="20"/>
          <w:szCs w:val="20"/>
        </w:rPr>
        <w:t xml:space="preserve"> uses open-source components, which remain with their owners on their own licence terms under section 11.0. The Provider chooses components whose licences allow commercial use and do not require the Client to publish its own source code.</w:t>
      </w:r>
    </w:p>
    <w:p w14:paraId="27EB682A" w14:textId="16F3F5C6"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3.7 Third-party services and platform changes</w:t>
      </w:r>
    </w:p>
    <w:p w14:paraId="3B765EAF" w14:textId="68896CA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t>
      </w:r>
      <w:r>
        <w:rPr>
          <w:rFonts w:ascii="Aptos" w:eastAsia="Aptos" w:hAnsi="Aptos" w:cs="Aptos"/>
          <w:sz w:val="20"/>
          <w:szCs w:val="20"/>
        </w:rPr>
        <w:t xml:space="preserve">{{deliverable}}</w:t>
      </w:r>
      <w:r>
        <w:rPr>
          <w:rFonts w:ascii="Aptos" w:eastAsia="Aptos" w:hAnsi="Aptos" w:cs="Aptos"/>
          <w:sz w:val="20"/>
          <w:szCs w:val="20"/>
        </w:rPr>
        <w:t xml:space="preserve"> relies on services the Provider does not control, for example the hosting and cloud providers it runs on, and any payment, mapping, email, messaging, sign-in or other service listed in section 2.2. Each is supplied on its provider’s own terms, and any subscription or usage fees are borne by the Client under section 5.0.</w:t>
      </w:r>
    </w:p>
    <w:p w14:paraId="66ACB5D8" w14:textId="7652659B" w:rsidR="00FB3DFF" w:rsidRDefault="00FB3DFF">
      <w:pPr>
        <w:spacing w:line="140" w:lineRule="auto"/>
        <w:jc w:val="both"/>
        <w:rPr>
          <w:rFonts w:ascii="Aptos" w:eastAsia="Aptos" w:hAnsi="Aptos" w:cs="Aptos"/>
          <w:sz w:val="20"/>
          <w:szCs w:val="20"/>
        </w:rPr>
      </w:pPr>
    </w:p>
    <w:p w14:paraId="10BCDF0E" w14:textId="39F2B57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a provider changes, limits or withdraws a service, or changes its prices or rules, after the Provider has built to it, the work needed to adapt the </w:t>
      </w:r>
      <w:r>
        <w:rPr>
          <w:rFonts w:ascii="Aptos" w:eastAsia="Aptos" w:hAnsi="Aptos" w:cs="Aptos"/>
          <w:sz w:val="20"/>
          <w:szCs w:val="20"/>
        </w:rPr>
        <w:t xml:space="preserve">{{deliverable}}</w:t>
      </w:r>
      <w:r>
        <w:rPr>
          <w:rFonts w:ascii="Aptos" w:eastAsia="Aptos" w:hAnsi="Aptos" w:cs="Aptos"/>
          <w:sz w:val="20"/>
          <w:szCs w:val="20"/>
        </w:rPr>
        <w:t xml:space="preserve"> is an addition or alteration under section 6.0. The Provider chooses established services, and will inform the Client of any change it knows is coming that affects the </w:t>
      </w:r>
      <w:r>
        <w:rPr>
          <w:rFonts w:ascii="Aptos" w:eastAsia="Aptos" w:hAnsi="Aptos" w:cs="Aptos"/>
          <w:sz w:val="20"/>
          <w:szCs w:val="20"/>
        </w:rPr>
        <w:t xml:space="preserve">{{deliverable}}</w:t>
      </w:r>
      <w:r>
        <w:rPr>
          <w:rFonts w:ascii="Aptos" w:eastAsia="Aptos" w:hAnsi="Aptos" w:cs="Aptos"/>
          <w:sz w:val="20"/>
          <w:szCs w:val="20"/>
        </w:rPr>
        <w:t xml:space="preserve">.</w:t>
      </w:r>
    </w:p>
    <w:p w14:paraId="584D77B1" w14:textId="1E194C0B" w:rsidR="00FB3DFF" w:rsidRDefault="00FB3DFF">
      <w:pPr>
        <w:spacing w:line="140" w:lineRule="auto"/>
        <w:jc w:val="both"/>
        <w:rPr>
          <w:rFonts w:ascii="Aptos" w:eastAsia="Aptos" w:hAnsi="Aptos" w:cs="Aptos"/>
          <w:sz w:val="20"/>
          <w:szCs w:val="20"/>
        </w:rPr>
      </w:pPr>
    </w:p>
    <w:p w14:paraId="3CD408FD" w14:textId="3895899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Operating systems and browsers are updated regularly by Apple, Google, Microsoft and others. The </w:t>
      </w:r>
      <w:r>
        <w:rPr>
          <w:rFonts w:ascii="Aptos" w:eastAsia="Aptos" w:hAnsi="Aptos" w:cs="Aptos"/>
          <w:sz w:val="20"/>
          <w:szCs w:val="20"/>
        </w:rPr>
        <w:t xml:space="preserve">{{deliverable}}</w:t>
      </w:r>
      <w:r>
        <w:rPr>
          <w:rFonts w:ascii="Aptos" w:eastAsia="Aptos" w:hAnsi="Aptos" w:cs="Aptos"/>
          <w:sz w:val="20"/>
          <w:szCs w:val="20"/>
        </w:rPr>
        <w:t xml:space="preserve"> is built for the versions set out in section 2.3. Keeping it working with versions or devices released after acceptance is not a defect under section 4.1, and is covered by ongoing support if the Client takes it under that section, or quoted separately.</w:t>
      </w:r>
    </w:p>
    <w:p w14:paraId="72F95297" w14:textId="6DDBE78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{{/web_app|mobile_app|web_mobile_app}}</w:t>
      </w:r>
    </w:p>
    <w:p w14:paraId="6DAE2AE5" w14:textId="62FF01D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{{?mobile_app|web_mobile_app}}</w:t>
      </w:r>
    </w:p>
    <w:p w14:paraId="7401DE4C" w14:textId="5537391B"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3.8 App store release</w:t>
      </w:r>
    </w:p>
    <w:p w14:paraId="163D5D8F" w14:textId="5F508EDA"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prepares the store listings and submits the first release of the </w:t>
      </w:r>
      <w:r>
        <w:rPr>
          <w:rFonts w:ascii="Aptos" w:eastAsia="Aptos" w:hAnsi="Aptos" w:cs="Aptos"/>
          <w:sz w:val="20"/>
          <w:szCs w:val="20"/>
        </w:rPr>
        <w:t xml:space="preserve">{{store_app}}</w:t>
      </w:r>
      <w:r>
        <w:rPr>
          <w:rFonts w:ascii="Aptos" w:eastAsia="Aptos" w:hAnsi="Aptos" w:cs="Aptos"/>
          <w:sz w:val="20"/>
          <w:szCs w:val="20"/>
        </w:rPr>
        <w:t xml:space="preserve"> for review under the developer accounts described in section 2.3. Delivery of the </w:t>
      </w:r>
      <w:r>
        <w:rPr>
          <w:rFonts w:ascii="Aptos" w:eastAsia="Aptos" w:hAnsi="Aptos" w:cs="Aptos"/>
          <w:sz w:val="20"/>
          <w:szCs w:val="20"/>
        </w:rPr>
        <w:t xml:space="preserve">{{store_app}}</w:t>
      </w:r>
      <w:r>
        <w:rPr>
          <w:rFonts w:ascii="Aptos" w:eastAsia="Aptos" w:hAnsi="Aptos" w:cs="Aptos"/>
          <w:sz w:val="20"/>
          <w:szCs w:val="20"/>
        </w:rPr>
        <w:t xml:space="preserve"> is complete when it is submitted. Store approval is not a condition of acceptance or of any payment. The Provider also releases the corrections it makes under section 4.1. Any other release after the first is covered by ongoing support if the Client takes it under section 4.1, or quoted separately.</w:t>
      </w:r>
    </w:p>
    <w:p w14:paraId="79951F31" w14:textId="5DE16B2B" w:rsidR="00FB3DFF" w:rsidRDefault="00FB3DFF">
      <w:pPr>
        <w:spacing w:line="140" w:lineRule="auto"/>
        <w:jc w:val="both"/>
        <w:rPr>
          <w:rFonts w:ascii="Aptos" w:eastAsia="Aptos" w:hAnsi="Aptos" w:cs="Aptos"/>
          <w:sz w:val="20"/>
          <w:szCs w:val="20"/>
        </w:rPr>
      </w:pPr>
    </w:p>
    <w:p w14:paraId="2234A3F9" w14:textId="63BA4E55"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By the date set in section 3.1, the Client will supply:</w:t>
      </w:r>
    </w:p>
    <w:p w14:paraId="2474162A" w14:textId="2DDA7744" w:rsidR="00FB3DFF" w:rsidRDefault="00FB3DFF">
      <w:pPr>
        <w:spacing w:line="80" w:lineRule="auto"/>
        <w:jc w:val="both"/>
        <w:rPr>
          <w:rFonts w:ascii="Aptos" w:eastAsia="Aptos" w:hAnsi="Aptos" w:cs="Aptos"/>
          <w:sz w:val="20"/>
          <w:szCs w:val="20"/>
        </w:rPr>
      </w:pPr>
    </w:p>
    <w:p w14:paraId="14F9095B" w14:textId="7494FE5E"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• the store listing text, screenshots and other images, and the support and privacy policy addresses;</w:t>
      </w:r>
    </w:p>
    <w:p w14:paraId="4E6E0658" w14:textId="4B2B5E8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• the answers to Apple’s App Privacy questions and Google Play’s Data safety form, which are the Client’s responsibility, with the Provider’s technical input on the data the </w:t>
      </w:r>
      <w:r>
        <w:rPr>
          <w:rFonts w:ascii="Aptos" w:eastAsia="Aptos" w:hAnsi="Aptos" w:cs="Aptos"/>
          <w:sz w:val="20"/>
          <w:szCs w:val="20"/>
        </w:rPr>
        <w:t xml:space="preserve">{{store_app}}</w:t>
      </w:r>
      <w:r>
        <w:rPr>
          <w:rFonts w:ascii="Aptos" w:eastAsia="Aptos" w:hAnsi="Aptos" w:cs="Aptos"/>
          <w:sz w:val="20"/>
          <w:szCs w:val="20"/>
        </w:rPr>
        <w:t xml:space="preserve"> collects;</w:t>
      </w:r>
    </w:p>
    <w:p w14:paraId="6303AB23" w14:textId="7327AE75"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• a demonstration account for the stores’ reviewers;</w:t>
      </w:r>
    </w:p>
    <w:p w14:paraId="4398A2B9" w14:textId="16588395"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• any licence, registration or other evidence the stores require for the Client’s business; and</w:t>
      </w:r>
    </w:p>
    <w:p w14:paraId="54DCF0A9" w14:textId="473B5D6D"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• details of any payments or subscriptions sold within the </w:t>
      </w:r>
      <w:r>
        <w:rPr>
          <w:rFonts w:ascii="Aptos" w:eastAsia="Aptos" w:hAnsi="Aptos" w:cs="Aptos"/>
          <w:sz w:val="20"/>
          <w:szCs w:val="20"/>
        </w:rPr>
        <w:t xml:space="preserve">{{store_app}}</w:t>
      </w:r>
      <w:r>
        <w:rPr>
          <w:rFonts w:ascii="Aptos" w:eastAsia="Aptos" w:hAnsi="Aptos" w:cs="Aptos"/>
          <w:sz w:val="20"/>
          <w:szCs w:val="20"/>
        </w:rPr>
        <w:t xml:space="preserve">.</w:t>
      </w:r>
    </w:p>
    <w:p w14:paraId="10C0C39B" w14:textId="42BDEEB4" w:rsidR="00FB3DFF" w:rsidRDefault="00FB3DFF">
      <w:pPr>
        <w:spacing w:line="140" w:lineRule="auto"/>
        <w:jc w:val="both"/>
        <w:rPr>
          <w:rFonts w:ascii="Aptos" w:eastAsia="Aptos" w:hAnsi="Aptos" w:cs="Aptos"/>
          <w:sz w:val="20"/>
          <w:szCs w:val="20"/>
        </w:rPr>
      </w:pPr>
    </w:p>
    <w:p w14:paraId="17C02323" w14:textId="23DB7521"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Whether the </w:t>
      </w:r>
      <w:r>
        <w:rPr>
          <w:rFonts w:ascii="Aptos" w:eastAsia="Aptos" w:hAnsi="Aptos" w:cs="Aptos"/>
          <w:sz w:val="20"/>
          <w:szCs w:val="20"/>
        </w:rPr>
        <w:t xml:space="preserve">{{store_app}}</w:t>
      </w:r>
      <w:r>
        <w:rPr>
          <w:rFonts w:ascii="Aptos" w:eastAsia="Aptos" w:hAnsi="Aptos" w:cs="Aptos"/>
          <w:sz w:val="20"/>
          <w:szCs w:val="20"/>
        </w:rPr>
        <w:t xml:space="preserve"> is approved is a decision for Apple and Google, not the Provider. If a store rejects it because the Provider’s work does not meet the store’s rules in force at the time of submission, the Provider will correct it at no charge and resubmit. If it is rejected because of the Client’s content, business model or anything the Client supplies under this section, the Provider will help the Client respond, and the work required is charged as an addition or alteration under section 6.0.</w:t>
      </w:r>
    </w:p>
    <w:p w14:paraId="366E0DAF" w14:textId="6908115E" w:rsidR="00FB3DFF" w:rsidRDefault="00FB3DFF">
      <w:pPr>
        <w:spacing w:line="140" w:lineRule="auto"/>
        <w:jc w:val="both"/>
        <w:rPr>
          <w:rFonts w:ascii="Aptos" w:eastAsia="Aptos" w:hAnsi="Aptos" w:cs="Aptos"/>
          <w:sz w:val="20"/>
          <w:szCs w:val="20"/>
        </w:rPr>
      </w:pPr>
    </w:p>
    <w:p w14:paraId="1BA29BBF" w14:textId="55813C1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tests and accepts the </w:t>
      </w:r>
      <w:r>
        <w:rPr>
          <w:rFonts w:ascii="Aptos" w:eastAsia="Aptos" w:hAnsi="Aptos" w:cs="Aptos"/>
          <w:sz w:val="20"/>
          <w:szCs w:val="20"/>
        </w:rPr>
        <w:t xml:space="preserve">{{store_app}}</w:t>
      </w:r>
      <w:r>
        <w:rPr>
          <w:rFonts w:ascii="Aptos" w:eastAsia="Aptos" w:hAnsi="Aptos" w:cs="Aptos"/>
          <w:sz w:val="20"/>
          <w:szCs w:val="20"/>
        </w:rPr>
        <w:t xml:space="preserve"> under section 3.4 on test builds sent through Apple’s TestFlight and Google Play’s testing tracks. The time a store takes to review the </w:t>
      </w:r>
      <w:r>
        <w:rPr>
          <w:rFonts w:ascii="Aptos" w:eastAsia="Aptos" w:hAnsi="Aptos" w:cs="Aptos"/>
          <w:sz w:val="20"/>
          <w:szCs w:val="20"/>
        </w:rPr>
        <w:t xml:space="preserve">{{store_app}}</w:t>
      </w:r>
      <w:r>
        <w:rPr>
          <w:rFonts w:ascii="Aptos" w:eastAsia="Aptos" w:hAnsi="Aptos" w:cs="Aptos"/>
          <w:sz w:val="20"/>
          <w:szCs w:val="20"/>
        </w:rPr>
        <w:t xml:space="preserve"> does not delay acceptance or the final payment.</w:t>
      </w:r>
    </w:p>
    <w:p w14:paraId="283BCA7B" w14:textId="68D6EFD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{{/mobile_app|web_mobile_app}}</w:t>
      </w:r>
    </w:p>
    <w:p w14:paraId="7C6E0F1C" w14:textId="5BD44EF0"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7D384FB" w14:textId="6524BC74"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4.0 Payments</w:t>
      </w:r>
    </w:p>
    <w:p w14:paraId="68AB03FC" w14:textId="53A9A2F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agrees to pay the Provider in accordance with the payment schedule in section 2.5, which is the only schedule of payments under this Agreement. All fees are due and payable on receipt of invoice, including those for any stock photography or other purchased materials authorised for the project. Each invoice is payable in full, without set-off or deduction, other than any tax the law requires the Client to withhold, for which the Client will give the Provider the withholding certificate within 30 days.</w:t>
      </w:r>
    </w:p>
    <w:p w14:paraId="32200EF0" w14:textId="57738EBA" w:rsidR="00FB3DFF" w:rsidRDefault="00FB3DFF">
      <w:pPr>
        <w:spacing w:line="140" w:lineRule="auto"/>
        <w:jc w:val="both"/>
        <w:rPr>
          <w:rFonts w:ascii="Aptos" w:eastAsia="Aptos" w:hAnsi="Aptos" w:cs="Aptos"/>
          <w:sz w:val="20"/>
          <w:szCs w:val="20"/>
        </w:rPr>
      </w:pPr>
    </w:p>
    <w:p w14:paraId="7365DA48" w14:textId="48F449F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first payment in section 2.5 is an advance. It secures the Client’s place in the Provider’s schedule, for which the Provider reserves its team and declines other work, and counts toward the fees. Section 13.0 sets out when the Provider keeps it and when it is refunded if this Agreement ends early.</w:t>
      </w:r>
    </w:p>
    <w:p w14:paraId="533D53B5" w14:textId="132B9790" w:rsidR="00FB3DFF" w:rsidRDefault="00FB3DFF">
      <w:pPr>
        <w:spacing w:line="140" w:lineRule="auto"/>
        <w:jc w:val="both"/>
        <w:rPr>
          <w:rFonts w:ascii="Aptos" w:eastAsia="Aptos" w:hAnsi="Aptos" w:cs="Aptos"/>
          <w:sz w:val="20"/>
          <w:szCs w:val="20"/>
        </w:rPr>
      </w:pPr>
    </w:p>
    <w:p w14:paraId="7EBD0CDD" w14:textId="1EA37BC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final payment is due on acceptance of the </w:t>
      </w:r>
      <w:r>
        <w:rPr>
          <w:rFonts w:ascii="Aptos" w:eastAsia="Aptos" w:hAnsi="Aptos" w:cs="Aptos"/>
          <w:sz w:val="20"/>
          <w:szCs w:val="20"/>
        </w:rPr>
        <w:t xml:space="preserve">{{deliverable}}</w:t>
      </w:r>
      <w:r>
        <w:rPr>
          <w:rFonts w:ascii="Aptos" w:eastAsia="Aptos" w:hAnsi="Aptos" w:cs="Aptos"/>
          <w:sz w:val="20"/>
          <w:szCs w:val="20"/>
        </w:rPr>
        <w:t xml:space="preserve"> under section 3.4. The Provider may suspend work until any overdue invoice is paid, and may withhold work that has not been paid for under section 14.0.</w:t>
      </w:r>
    </w:p>
    <w:p w14:paraId="4A29E2F8" w14:textId="5795F9C2" w:rsidR="00FB3DFF" w:rsidRDefault="00FB3DFF">
      <w:pPr>
        <w:spacing w:line="140" w:lineRule="auto"/>
        <w:jc w:val="both"/>
        <w:rPr>
          <w:rFonts w:ascii="Aptos" w:eastAsia="Aptos" w:hAnsi="Aptos" w:cs="Aptos"/>
          <w:sz w:val="20"/>
          <w:szCs w:val="20"/>
        </w:rPr>
      </w:pPr>
    </w:p>
    <w:p w14:paraId="6D5C3D77" w14:textId="3B7B7A25"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may withhold payment of a milestone until the work that milestone relates to has been delivered, unless the delivery is late because of the Client, in which case section 3.3 applies.</w:t>
      </w:r>
    </w:p>
    <w:p w14:paraId="5D991320" w14:textId="5A7AAC95"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4.1 Support</w:t>
      </w:r>
    </w:p>
    <w:p w14:paraId="10EF0ADB" w14:textId="3322D92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Standard technical support is provided for </w:t>
      </w:r>
      <w:r>
        <w:rPr>
          <w:rFonts w:ascii="Aptos" w:eastAsia="Aptos" w:hAnsi="Aptos" w:cs="Aptos"/>
          <w:sz w:val="20"/>
          <w:szCs w:val="20"/>
        </w:rPr>
        <w:t xml:space="preserve">{{support.included.period}}</w:t>
      </w:r>
      <w:r>
        <w:rPr>
          <w:rFonts w:ascii="Aptos" w:eastAsia="Aptos" w:hAnsi="Aptos" w:cs="Aptos"/>
          <w:sz w:val="20"/>
          <w:szCs w:val="20"/>
        </w:rPr>
        <w:t xml:space="preserve"> from acceptance of the </w:t>
      </w:r>
      <w:r>
        <w:rPr>
          <w:rFonts w:ascii="Aptos" w:eastAsia="Aptos" w:hAnsi="Aptos" w:cs="Aptos"/>
          <w:sz w:val="20"/>
          <w:szCs w:val="20"/>
        </w:rPr>
        <w:t xml:space="preserve">{{deliverable}}</w:t>
      </w:r>
      <w:r>
        <w:rPr>
          <w:rFonts w:ascii="Aptos" w:eastAsia="Aptos" w:hAnsi="Aptos" w:cs="Aptos"/>
          <w:sz w:val="20"/>
          <w:szCs w:val="20"/>
        </w:rPr>
        <w:t xml:space="preserve"> under section 3.4, from </w:t>
      </w:r>
      <w:r>
        <w:rPr>
          <w:rFonts w:ascii="Aptos" w:eastAsia="Aptos" w:hAnsi="Aptos" w:cs="Aptos"/>
          <w:sz w:val="20"/>
          <w:szCs w:val="20"/>
        </w:rPr>
        <w:t xml:space="preserve">{{support_hours}}</w:t>
      </w:r>
      <w:r>
        <w:rPr>
          <w:rFonts w:ascii="Aptos" w:eastAsia="Aptos" w:hAnsi="Aptos" w:cs="Aptos"/>
          <w:sz w:val="20"/>
          <w:szCs w:val="20"/>
        </w:rPr>
        <w:t xml:space="preserve">. During that period the Provider will correct, at no charge, any defect where the </w:t>
      </w:r>
      <w:r>
        <w:rPr>
          <w:rFonts w:ascii="Aptos" w:eastAsia="Aptos" w:hAnsi="Aptos" w:cs="Aptos"/>
          <w:sz w:val="20"/>
          <w:szCs w:val="20"/>
        </w:rPr>
        <w:t xml:space="preserve">{{deliverable}}</w:t>
      </w:r>
      <w:r>
        <w:rPr>
          <w:rFonts w:ascii="Aptos" w:eastAsia="Aptos" w:hAnsi="Aptos" w:cs="Aptos"/>
          <w:sz w:val="20"/>
          <w:szCs w:val="20"/>
        </w:rPr>
        <w:t xml:space="preserve"> does not perform as described in section 2.0. Support does not cover design changes, new features, faults caused by changes made by others, or problems with third-party services.</w:t>
      </w:r>
    </w:p>
    <w:p w14:paraId="3F4B5D91" w14:textId="4EDEDF2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{{?website}}</w:t>
      </w:r>
    </w:p>
    <w:p w14:paraId="53981412" w14:textId="783691A6" w:rsidR="00FB3DFF" w:rsidRDefault="00FB3DFF">
      <w:pPr>
        <w:spacing w:line="140" w:lineRule="auto"/>
        <w:jc w:val="both"/>
        <w:rPr>
          <w:rFonts w:ascii="Aptos" w:eastAsia="Aptos" w:hAnsi="Aptos" w:cs="Aptos"/>
          <w:sz w:val="20"/>
          <w:szCs w:val="20"/>
        </w:rPr>
      </w:pPr>
    </w:p>
    <w:p w14:paraId="74B2D7B1" w14:textId="7558BA1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Included support is the correction of defects only. It does not include updates to </w:t>
      </w:r>
      <w:r>
        <w:rPr>
          <w:rFonts w:ascii="Aptos" w:eastAsia="Aptos" w:hAnsi="Aptos" w:cs="Aptos"/>
          <w:sz w:val="20"/>
          <w:szCs w:val="20"/>
        </w:rPr>
        <w:t xml:space="preserve">{{scope.platform}}</w:t>
      </w:r>
      <w:r>
        <w:rPr>
          <w:rFonts w:ascii="Aptos" w:eastAsia="Aptos" w:hAnsi="Aptos" w:cs="Aptos"/>
          <w:sz w:val="20"/>
          <w:szCs w:val="20"/>
        </w:rPr>
        <w:t xml:space="preserve"> or to any theme or plugin, security patches, backups or restore tests, or failures caused by an update to a third-party theme or plugin. These are covered by ongoing support if the Client takes it, or quoted separately. The Provider installs the current versions at go-live.</w:t>
      </w:r>
    </w:p>
    <w:p w14:paraId="5DD61A19" w14:textId="6933F841"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{{/website}}</w:t>
      </w:r>
    </w:p>
    <w:p w14:paraId="331CD9EC" w14:textId="5B8BF84D" w:rsidR="00FB3DFF" w:rsidRDefault="00FB3DFF">
      <w:pPr>
        <w:spacing w:line="140" w:lineRule="auto"/>
        <w:jc w:val="both"/>
        <w:rPr>
          <w:rFonts w:ascii="Aptos" w:eastAsia="Aptos" w:hAnsi="Aptos" w:cs="Aptos"/>
          <w:sz w:val="20"/>
          <w:szCs w:val="20"/>
        </w:rPr>
      </w:pPr>
    </w:p>
    <w:p w14:paraId="3E60D870" w14:textId="2CF8E67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will begin work on a reported defect within one business day if the </w:t>
      </w:r>
      <w:r>
        <w:rPr>
          <w:rFonts w:ascii="Aptos" w:eastAsia="Aptos" w:hAnsi="Aptos" w:cs="Aptos"/>
          <w:sz w:val="20"/>
          <w:szCs w:val="20"/>
        </w:rPr>
        <w:t xml:space="preserve">{{deliverable}}</w:t>
      </w:r>
      <w:r>
        <w:rPr>
          <w:rFonts w:ascii="Aptos" w:eastAsia="Aptos" w:hAnsi="Aptos" w:cs="Aptos"/>
          <w:sz w:val="20"/>
          <w:szCs w:val="20"/>
        </w:rPr>
        <w:t xml:space="preserve"> is unavailable or data is being lost or exposed, and within three business days in any other case. These are the times within which work begins, not the times by which every correction is completed.</w:t>
      </w:r>
    </w:p>
    <w:p w14:paraId="677AA126" w14:textId="358DADCD" w:rsidR="00FB3DFF" w:rsidRDefault="00FB3DFF">
      <w:pPr>
        <w:spacing w:line="140" w:lineRule="auto"/>
        <w:jc w:val="both"/>
        <w:rPr>
          <w:rFonts w:ascii="Aptos" w:eastAsia="Aptos" w:hAnsi="Aptos" w:cs="Aptos"/>
          <w:sz w:val="20"/>
          <w:szCs w:val="20"/>
        </w:rPr>
      </w:pPr>
    </w:p>
    <w:p w14:paraId="7CD20BC2" w14:textId="4A982D5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After that period, ongoing support and maintenance are available as a separate service, on terms agreed in writing.</w:t>
      </w:r>
    </w:p>
    <w:p w14:paraId="58B74209" w14:textId="4A470D7A"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4.2 Design Iterations</w:t>
      </w:r>
    </w:p>
    <w:p w14:paraId="5FBC3641" w14:textId="781388D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will provide up to three (3) design iterations. Any additional iteration will be quoted before it begins and charged only once the Client has approved the quote in writing.</w:t>
      </w:r>
    </w:p>
    <w:p w14:paraId="32F8227E" w14:textId="44AE915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{{?web_app|mobile_app|web_mobile_app}}</w:t>
      </w:r>
    </w:p>
    <w:p w14:paraId="713B77F8" w14:textId="7A171EF2" w:rsidR="00FB3DFF" w:rsidRDefault="00FB3DFF">
      <w:pPr>
        <w:spacing w:line="140" w:lineRule="auto"/>
        <w:jc w:val="both"/>
        <w:rPr>
          <w:rFonts w:ascii="Aptos" w:eastAsia="Aptos" w:hAnsi="Aptos" w:cs="Aptos"/>
          <w:sz w:val="20"/>
          <w:szCs w:val="20"/>
        </w:rPr>
      </w:pPr>
    </w:p>
    <w:p w14:paraId="77718608" w14:textId="65B11A9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During development, the Client’s feedback on each testing release is included. Feedback that asks for something different from section 2.0 is an addition or alteration under section 6.0.</w:t>
      </w:r>
    </w:p>
    <w:p w14:paraId="31267BC2" w14:textId="50007AD5"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{{/web_app|mobile_app|web_mobile_app}}</w:t>
      </w:r>
    </w:p>
    <w:p w14:paraId="54CE0D9F" w14:textId="79E41968"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5CB55FBF" w14:textId="137CD960"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5.0 Out-of-Pocket Expenses</w:t>
      </w:r>
    </w:p>
    <w:p w14:paraId="79C10B17" w14:textId="627B10B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Fees for professional services do not include outside purchases such as, but not limited to, stock images, fonts, plugins, software licences, domains, hosting, photography and illustrations. Such expenses will be charged only if the Client has approved them in writing before purchase, and are passed on at cost. If the Provider’s services are required outside Colombo, travel and accommodation will be charged at cost, with the Client’s prior approval.</w:t>
      </w:r>
    </w:p>
    <w:p w14:paraId="2A477320" w14:textId="3A3F329E" w:rsidR="00FB3DFF" w:rsidRDefault="00FB3DFF">
      <w:pPr>
        <w:spacing w:line="140" w:lineRule="auto"/>
        <w:jc w:val="both"/>
        <w:rPr>
          <w:rFonts w:ascii="Aptos" w:eastAsia="Aptos" w:hAnsi="Aptos" w:cs="Aptos"/>
          <w:sz w:val="20"/>
          <w:szCs w:val="20"/>
        </w:rPr>
      </w:pPr>
    </w:p>
    <w:p w14:paraId="32D33B1F" w14:textId="2DF164E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directs the Provider to cancel, terminate or put on hold any previously authorised purchase, the Provider will promptly do so, and the Client will bear any cost that cannot be recovered. (See also section 4.0.)</w:t>
      </w:r>
    </w:p>
    <w:p w14:paraId="6B3629A7" w14:textId="33E6BFD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072B076" w14:textId="55CA171B"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6.0 Additions and Alterations</w:t>
      </w:r>
    </w:p>
    <w:p w14:paraId="35C05AA5" w14:textId="6D4A1E5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New work requested by the Client and performed by the Provider after this ATP has been approved is an addition or alteration. If the work changes to an extent that substantially alters the original specifications, the Provider will submit a change request specification to the Client, and both parties must agree the revised or additional fee before further work proceeds. (See also section 3.2.)</w:t>
      </w:r>
    </w:p>
    <w:p w14:paraId="62FE4552" w14:textId="347D932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7C8A7F0" w14:textId="165BA202"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7.0 Nature of Content</w:t>
      </w:r>
    </w:p>
    <w:p w14:paraId="6D92BB49" w14:textId="636E2FF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agrees to exercise due diligence in its direction to the Provider regarding the preparation of content materials, and must be able to substantiate all claims and representations. The Client is responsible for all trademark, service mark, copyright and patent clearances, and for arranging, before publication, any necessary legal clearance of data and materials the Provider will use in the project.</w:t>
      </w:r>
    </w:p>
    <w:p w14:paraId="35B413F4" w14:textId="2648C180"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413E2DF1" w14:textId="5FCFCFEA"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8.0 Errors &amp; Omissions</w:t>
      </w:r>
    </w:p>
    <w:p w14:paraId="74F76950" w14:textId="209081C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It is the Client’s responsibility to check proofs, designs and other deliverables carefully for accuracy in all respects, from spelling to technical illustrations. The written approval of the Client or its authorised representative is required on all user interface designs, websites and artwork before they are released for implementation or publication.</w:t>
      </w:r>
    </w:p>
    <w:p w14:paraId="44EFCB9F" w14:textId="5726DDF4"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86F67B7" w14:textId="797EC142"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9.0 Property &amp; Suppliers’ Performance</w:t>
      </w:r>
    </w:p>
    <w:p w14:paraId="7496A86F" w14:textId="62EC968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will take all reasonable precautions to safeguard the property the Client entrusts to it, and is responsible for loss, destruction, damage or unauthorised use of that property caused by the Provider’s negligence. The Provider remains responsible for the work of its own staff and subcontractors. Although the Provider will use reasonable efforts to guard against any loss to the Client through the failure of third-party suppliers or others to perform their commitments, the Provider is not responsible for such failures.</w:t>
      </w:r>
    </w:p>
    <w:p w14:paraId="665F7A14" w14:textId="7DC67D7C" w:rsidR="00FB3DFF" w:rsidRDefault="00FB3DFF">
      <w:pPr>
        <w:spacing w:line="140" w:lineRule="auto"/>
        <w:jc w:val="both"/>
        <w:rPr>
          <w:rFonts w:ascii="Aptos" w:eastAsia="Aptos" w:hAnsi="Aptos" w:cs="Aptos"/>
          <w:sz w:val="20"/>
          <w:szCs w:val="20"/>
        </w:rPr>
      </w:pPr>
    </w:p>
    <w:p w14:paraId="557207D5" w14:textId="31D4010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selects its own suppliers, other than those recommended by the Provider, the Client may request that the Provider coordinate their work. The Provider will do so where reasonably possible, but is not responsible for their quality, price, performance or delivery.</w:t>
      </w:r>
    </w:p>
    <w:p w14:paraId="68050458" w14:textId="56B76B8E"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694CAE1D" w14:textId="5ED2628F"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10.0 Confidentiality and Data Protection</w:t>
      </w:r>
    </w:p>
    <w:p w14:paraId="4C9F022D" w14:textId="7A9C4FA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confirms that it has no other contract or obligation that conflicts with its obligations under this Agreement, and will not disclose to the Client, or induce the Client to use, confidential information belonging to anyone else.</w:t>
      </w:r>
    </w:p>
    <w:p w14:paraId="6B5B9032" w14:textId="78BC6E14" w:rsidR="00FB3DFF" w:rsidRDefault="00FB3DFF">
      <w:pPr>
        <w:spacing w:line="140" w:lineRule="auto"/>
        <w:jc w:val="both"/>
        <w:rPr>
          <w:rFonts w:ascii="Aptos" w:eastAsia="Aptos" w:hAnsi="Aptos" w:cs="Aptos"/>
          <w:sz w:val="20"/>
          <w:szCs w:val="20"/>
        </w:rPr>
      </w:pPr>
    </w:p>
    <w:p w14:paraId="7092DF76" w14:textId="145CAD7A"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Each party will keep the other party’s Confidential Information confidential, use it only for the purposes of this Agreement, disclose it only to its personnel and subcontractors who need to know it for those purposes, and return or delete it on request, subject to the paragraph below. “Confidential Information” means all non-public information relating to a party’s business that is disclosed in connection with this Agreement, including plans, pricing, customer and supplier information, data, designs and source code. It does not include information that is or becomes publicly available through no fault of the receiving party, that the receiving party already knew, or that it develops independently.</w:t>
      </w:r>
    </w:p>
    <w:p w14:paraId="63A8CE16" w14:textId="57E1C9D4" w:rsidR="00FB3DFF" w:rsidRDefault="00FB3DFF">
      <w:pPr>
        <w:spacing w:line="140" w:lineRule="auto"/>
        <w:jc w:val="both"/>
        <w:rPr>
          <w:rFonts w:ascii="Aptos" w:eastAsia="Aptos" w:hAnsi="Aptos" w:cs="Aptos"/>
          <w:sz w:val="20"/>
          <w:szCs w:val="20"/>
        </w:rPr>
      </w:pPr>
    </w:p>
    <w:p w14:paraId="25BCE44B" w14:textId="4513C1D1"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A party is not required to delete copies it must keep by law, that exist in routine backups made in the ordinary course of business, or that it reasonably needs in order to provide support to which the Client remains entitled or to deal with a claim. Anything retained remains subject to this section. The Provider may use the general skills, knowledge and experience it gains in performing the Work. This section continues to apply after this Agreement ends.</w:t>
      </w:r>
    </w:p>
    <w:p w14:paraId="78869243" w14:textId="760328C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10.1 Personal data</w:t>
      </w:r>
    </w:p>
    <w:p w14:paraId="49414A8E" w14:textId="7BB24A8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is the controller of the personal data processed in the Work and through the </w:t>
      </w:r>
      <w:r>
        <w:rPr>
          <w:rFonts w:ascii="Aptos" w:eastAsia="Aptos" w:hAnsi="Aptos" w:cs="Aptos"/>
          <w:sz w:val="20"/>
          <w:szCs w:val="20"/>
        </w:rPr>
        <w:t xml:space="preserve">{{deliverable}}</w:t>
      </w:r>
      <w:r>
        <w:rPr>
          <w:rFonts w:ascii="Aptos" w:eastAsia="Aptos" w:hAnsi="Aptos" w:cs="Aptos"/>
          <w:sz w:val="20"/>
          <w:szCs w:val="20"/>
        </w:rPr>
        <w:t xml:space="preserve">, and the Provider processes it on the Client’s behalf, under the Personal Data Protection Act, No. 9 of 2022, as amended. In particular, the Provider:</w:t>
      </w:r>
    </w:p>
    <w:p w14:paraId="257C9326" w14:textId="4A4F3E75" w:rsidR="00FB3DFF" w:rsidRDefault="00FB3DFF">
      <w:pPr>
        <w:spacing w:line="80" w:lineRule="auto"/>
        <w:jc w:val="both"/>
        <w:rPr>
          <w:rFonts w:ascii="Aptos" w:eastAsia="Aptos" w:hAnsi="Aptos" w:cs="Aptos"/>
          <w:sz w:val="20"/>
          <w:szCs w:val="20"/>
        </w:rPr>
      </w:pPr>
    </w:p>
    <w:p w14:paraId="1D6BEF93" w14:textId="63C92EE4"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• processes personal data only on the Client’s written instructions, which this Agreement records, and only to design, build, test, deploy and support the </w:t>
      </w:r>
      <w:r>
        <w:rPr>
          <w:rFonts w:ascii="Aptos" w:eastAsia="Aptos" w:hAnsi="Aptos" w:cs="Aptos"/>
          <w:sz w:val="20"/>
          <w:szCs w:val="20"/>
        </w:rPr>
        <w:t xml:space="preserve">{{deliverable}}</w:t>
      </w:r>
      <w:r>
        <w:rPr>
          <w:rFonts w:ascii="Aptos" w:eastAsia="Aptos" w:hAnsi="Aptos" w:cs="Aptos"/>
          <w:sz w:val="20"/>
          <w:szCs w:val="20"/>
        </w:rPr>
        <w:t xml:space="preserve">;</w:t>
      </w:r>
    </w:p>
    <w:p w14:paraId="35831560" w14:textId="3E104CDD"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• processes only the categories of personal data the </w:t>
      </w:r>
      <w:r>
        <w:rPr>
          <w:rFonts w:ascii="Aptos" w:eastAsia="Aptos" w:hAnsi="Aptos" w:cs="Aptos"/>
          <w:sz w:val="20"/>
          <w:szCs w:val="20"/>
        </w:rPr>
        <w:t xml:space="preserve">{{deliverable}}</w:t>
      </w:r>
      <w:r>
        <w:rPr>
          <w:rFonts w:ascii="Aptos" w:eastAsia="Aptos" w:hAnsi="Aptos" w:cs="Aptos"/>
          <w:sz w:val="20"/>
          <w:szCs w:val="20"/>
        </w:rPr>
        <w:t xml:space="preserve"> collects or the Client supplies, such as the names, contact details, account details and usage information of the Client’s customers, users and staff, as described in section 2.0;</w:t>
      </w:r>
    </w:p>
    <w:p w14:paraId="38462220" w14:textId="1F3B0170"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• keeps that data secure, limiting access to personnel who need it and are bound by confidentiality, using encrypted connections, and not using live personal data for testing unless the Client agrees;</w:t>
      </w:r>
    </w:p>
    <w:p w14:paraId="241800E6" w14:textId="21CF8DB3"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• may use its own staff and subcontractors, including team members outside Sri Lanka, on the same terms, remains responsible for them, and transfers personal data out of Sri Lanka only as that Act permits;</w:t>
      </w:r>
    </w:p>
    <w:p w14:paraId="52D7F0DA" w14:textId="647A716F"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• notifies the Client without undue delay, and in any case within 48 hours of becoming aware, of any breach affecting that data, and cooperates with the Client in responding to it;</w:t>
      </w:r>
    </w:p>
    <w:p w14:paraId="6FFEB597" w14:textId="41647323"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• gives the Client reasonable help in answering requests from the people the data is about and enquiries from the Data Protection Authority; and</w:t>
      </w:r>
    </w:p>
    <w:p w14:paraId="7298DB0A" w14:textId="40E6B04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• returns or deletes that data within 30 days of the end of the Work or of the included support period, whichever is later, subject to the paragraph above on copies that may be retained.</w:t>
      </w:r>
    </w:p>
    <w:p w14:paraId="49797C7F" w14:textId="4E410B71"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48CC00E2" w14:textId="27349A7C"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11.0 Rights of Ownership</w:t>
      </w:r>
    </w:p>
    <w:p w14:paraId="7F39D993" w14:textId="7A7429B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Client’s trade marks, logos, content and data remain the property of the Client at all times. Once the Client has paid all invoices in full, the Provider assigns to the Client all intellectual property rights in the designs, graphics and custom code created specifically for the Client under this Agreement, and consents to the Client using, adapting and publishing them without attribution, so far as the Intellectual Property Act, No. 36 of 2003 permits. If this Agreement ends early, the Client receives these rights in the work it has paid for.</w:t>
      </w:r>
    </w:p>
    <w:p w14:paraId="768C4EBF" w14:textId="229E906A" w:rsidR="00FB3DFF" w:rsidRDefault="00FB3DFF">
      <w:pPr>
        <w:spacing w:line="140" w:lineRule="auto"/>
        <w:jc w:val="both"/>
        <w:rPr>
          <w:rFonts w:ascii="Aptos" w:eastAsia="Aptos" w:hAnsi="Aptos" w:cs="Aptos"/>
          <w:sz w:val="20"/>
          <w:szCs w:val="20"/>
        </w:rPr>
      </w:pPr>
    </w:p>
    <w:p w14:paraId="79AC0D2B" w14:textId="32D2E89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retains ownership of anything it developed before or independently of this Agreement, including its frameworks, code components, tools and templates, and grants the Client a perpetual, non-exclusive licence to use them as part of the </w:t>
      </w:r>
      <w:r>
        <w:rPr>
          <w:rFonts w:ascii="Aptos" w:eastAsia="Aptos" w:hAnsi="Aptos" w:cs="Aptos"/>
          <w:sz w:val="20"/>
          <w:szCs w:val="20"/>
        </w:rPr>
        <w:t xml:space="preserve">{{deliverable}}</w:t>
      </w:r>
      <w:r>
        <w:rPr>
          <w:rFonts w:ascii="Aptos" w:eastAsia="Aptos" w:hAnsi="Aptos" w:cs="Aptos"/>
          <w:sz w:val="20"/>
          <w:szCs w:val="20"/>
        </w:rPr>
        <w:t xml:space="preserve">. Third-party materials, such as </w:t>
      </w:r>
      <w:r>
        <w:rPr>
          <w:rFonts w:ascii="Aptos" w:eastAsia="Aptos" w:hAnsi="Aptos" w:cs="Aptos"/>
          <w:sz w:val="20"/>
          <w:szCs w:val="20"/>
        </w:rPr>
        <w:t xml:space="preserve">{{scope.platform}}</w:t>
      </w:r>
      <w:r>
        <w:rPr>
          <w:rFonts w:ascii="Aptos" w:eastAsia="Aptos" w:hAnsi="Aptos" w:cs="Aptos"/>
          <w:sz w:val="20"/>
          <w:szCs w:val="20"/>
        </w:rPr>
        <w:t xml:space="preserve">, open-source code, stock images, fonts, photography and illustrations licensed from others, remain with their owners and are supplied on their own licence terms.</w:t>
      </w:r>
    </w:p>
    <w:p w14:paraId="2545328C" w14:textId="500A2EDE" w:rsidR="00FB3DFF" w:rsidRDefault="00FB3DFF">
      <w:pPr>
        <w:spacing w:line="140" w:lineRule="auto"/>
        <w:jc w:val="both"/>
        <w:rPr>
          <w:rFonts w:ascii="Aptos" w:eastAsia="Aptos" w:hAnsi="Aptos" w:cs="Aptos"/>
          <w:sz w:val="20"/>
          <w:szCs w:val="20"/>
        </w:rPr>
      </w:pPr>
    </w:p>
    <w:p w14:paraId="3063562F" w14:textId="17FAD46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may reproduce and publish work it creates for the Client, including mock-ups, screenshots and presentations, in its portfolio, website, proposals and marketing materials, despite section 10.0, unless the Client asks it in writing not to. The Provider will keep copies of delivered project materials for 90 days after delivery, after which it may discard them, and will delete them sooner if the Client asks.</w:t>
      </w:r>
    </w:p>
    <w:p w14:paraId="25941545" w14:textId="16D5179B"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4E86738" w14:textId="6F847030"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12.0 Limitation of Liability</w:t>
      </w:r>
    </w:p>
    <w:p w14:paraId="712B5E50" w14:textId="345E057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Nothing in this Agreement excludes or limits any liability that cannot be excluded or limited under the laws of Sri Lanka.</w:t>
      </w:r>
    </w:p>
    <w:p w14:paraId="4A0F6268" w14:textId="68865C62" w:rsidR="00FB3DFF" w:rsidRDefault="00FB3DFF">
      <w:pPr>
        <w:spacing w:line="140" w:lineRule="auto"/>
        <w:jc w:val="both"/>
        <w:rPr>
          <w:rFonts w:ascii="Aptos" w:eastAsia="Aptos" w:hAnsi="Aptos" w:cs="Aptos"/>
          <w:sz w:val="20"/>
          <w:szCs w:val="20"/>
        </w:rPr>
      </w:pPr>
    </w:p>
    <w:p w14:paraId="668E53C3" w14:textId="20C2B13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Subject to the paragraph above, neither party is liable to the other for any loss of profit, loss of business opportunity, loss of data or loss of goodwill, or for any indirect, consequential, special or punitive loss or damage, in connection with this Agreement. The Provider’s total liability for all claims in connection with this Agreement, however arising, whether in contract, tort (including negligence), under statute or otherwise, is limited in aggregate to the total fees paid or payable to the Provider under this Agreement.</w:t>
      </w:r>
    </w:p>
    <w:p w14:paraId="11E3AA93" w14:textId="29D83089" w:rsidR="00FB3DFF" w:rsidRDefault="00FB3DFF">
      <w:pPr>
        <w:spacing w:line="140" w:lineRule="auto"/>
        <w:jc w:val="both"/>
        <w:rPr>
          <w:rFonts w:ascii="Aptos" w:eastAsia="Aptos" w:hAnsi="Aptos" w:cs="Aptos"/>
          <w:sz w:val="20"/>
          <w:szCs w:val="20"/>
        </w:rPr>
      </w:pPr>
    </w:p>
    <w:p w14:paraId="68DC1E36" w14:textId="3895C6F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will indemnify the Provider against any claim brought against the Provider by a third party arising from content, materials or instructions supplied by the Client, including a claim that they infringe another person’s intellectual property rights or breach any law, except to the extent the claim is caused by the Provider’s own negligence or breach of this Agreement.</w:t>
      </w:r>
    </w:p>
    <w:p w14:paraId="14A63DA1" w14:textId="597A5E08" w:rsidR="00FB3DFF" w:rsidRDefault="00FB3DFF">
      <w:pPr>
        <w:spacing w:line="140" w:lineRule="auto"/>
        <w:jc w:val="both"/>
        <w:rPr>
          <w:rFonts w:ascii="Aptos" w:eastAsia="Aptos" w:hAnsi="Aptos" w:cs="Aptos"/>
          <w:sz w:val="20"/>
          <w:szCs w:val="20"/>
        </w:rPr>
      </w:pPr>
    </w:p>
    <w:p w14:paraId="5E986D60" w14:textId="3D6B7ED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such a claim is made, the Provider will notify the Client promptly, will not admit or settle it without the Client’s agreement, and will allow the Client to conduct the defence at the Client’s cost, with the Provider’s reasonable assistance.</w:t>
      </w:r>
    </w:p>
    <w:p w14:paraId="71EF852C" w14:textId="262621CF"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4B6C5784" w14:textId="2AEECE4A"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13.0 Ending This Agreement</w:t>
      </w:r>
    </w:p>
    <w:p w14:paraId="79FE01AC" w14:textId="394942A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This Agreement continues until the project is concluded as set out in this ATP. It can end early only in one of the ways in the table below, which also sets out what the Client pays and what happens to the advance under section 4.0.</w:t>
      </w:r>
    </w:p>
    <w:p w14:paraId="10E99A42" w14:textId="42B8AF15"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13.1 How this Agreement can end early</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050"/>
        <w:gridCol w:w="2350"/>
        <w:gridCol w:w="2250"/>
        <w:gridCol w:w="2200"/>
      </w:tblGrid>
      <w:tr w:rsidR="00BE2257" w14:paraId="1864D375" w14:textId="4945BA22"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2050" w:type="dxa"/>
            <w:shd w:val="clear" w:color="auto" w:fill="0C9476"/>
            <w:hideMark/>
            <w:tcBorders>
              <w:top w:val="outset" w:sz="6" w:space="0" w:color="0C9476"/>
              <w:left w:val="outset" w:sz="6" w:space="0" w:color="0C9476"/>
              <w:bottom w:val="outset" w:sz="6" w:space="0" w:color="0C9476"/>
              <w:right w:val="outset" w:sz="6" w:space="0" w:color="0C9476"/>
            </w:tcBorders>
          </w:tcPr>
          <w:p w14:paraId="65464370" w14:textId="5F1D1F76" w:rsidR="00BE2257" w:rsidRPr="00BE2257" w:rsidRDefault="00BE2257" w:rsidP="007009E1">
            <w:pPr>
              <w:spacing w:line="276" w:lineRule="auto"/>
              <w:rPr>
                <w:sz w:val="18"/>
                <w:szCs w:val="18"/>
                <w:lang w:val="en-US"/>
              </w:rPr>
            </w:pPr>
            <w:r>
              <w:rPr>
                <w:rFonts w:ascii="Aptos" w:hAnsi="Aptos" w:cs="Aptos" w:hint="cs" w:eastAsia="Aptos"/>
                <w:color w:val="FFFFFF"/>
                <w:sz w:val="18"/>
                <w:szCs w:val="18"/>
              </w:rPr>
              <w:t xml:space="preserve">Situation</w:t>
            </w:r>
          </w:p>
        </w:tc>
        <w:tc>
          <w:tcPr>
            <w:tcW w:w="2350" w:type="dxa"/>
            <w:shd w:val="clear" w:color="auto" w:fill="0C9476"/>
            <w:hideMark/>
            <w:tcBorders>
              <w:top w:val="outset" w:sz="6" w:space="0" w:color="0C9476"/>
              <w:left w:val="outset" w:sz="6" w:space="0" w:color="0C9476"/>
              <w:bottom w:val="outset" w:sz="6" w:space="0" w:color="0C9476"/>
              <w:right w:val="outset" w:sz="6" w:space="0" w:color="0C9476"/>
            </w:tcBorders>
          </w:tcPr>
          <w:p w14:paraId="3104EB67" w14:textId="37922C37"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hint="cs" w:eastAsia="Aptos"/>
                <w:color w:val="FFFFFF"/>
                <w:sz w:val="18"/>
                <w:szCs w:val="18"/>
              </w:rPr>
              <w:t xml:space="preserve">How it ends</w:t>
            </w:r>
          </w:p>
        </w:tc>
        <w:tc>
          <w:tcPr>
            <w:tcW w:w="2250" w:type="dxa"/>
            <w:shd w:val="clear" w:color="auto" w:fill="0C9476"/>
            <w:hideMark/>
            <w:tcBorders>
              <w:top w:val="outset" w:sz="6" w:space="0" w:color="0C9476"/>
              <w:left w:val="outset" w:sz="6" w:space="0" w:color="0C9476"/>
              <w:bottom w:val="outset" w:sz="6" w:space="0" w:color="0C9476"/>
              <w:right w:val="outset" w:sz="6" w:space="0" w:color="0C9476"/>
            </w:tcBorders>
          </w:tcPr>
          <w:p w14:paraId="6703339E" w14:textId="4833548D"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Pr>
                <w:rFonts w:ascii="Aptos" w:hAnsi="Aptos" w:cs="Aptos" w:hint="cs" w:eastAsia="Aptos"/>
                <w:color w:val="FFFFFF"/>
                <w:sz w:val="18"/>
                <w:szCs w:val="18"/>
              </w:rPr>
              <w:t xml:space="preserve">What the Client pays</w:t>
            </w:r>
          </w:p>
        </w:tc>
        <w:tc>
          <w:tcPr>
            <w:tcW w:w="2200" w:type="dxa"/>
            <w:shd w:val="clear" w:color="auto" w:fill="0C9476"/>
            <w:hideMark/>
            <w:tcBorders>
              <w:top w:val="outset" w:sz="6" w:space="0" w:color="0C9476"/>
              <w:left w:val="outset" w:sz="6" w:space="0" w:color="0C9476"/>
              <w:bottom w:val="outset" w:sz="6" w:space="0" w:color="0C9476"/>
              <w:right w:val="outset" w:sz="6" w:space="0" w:color="0C9476"/>
            </w:tcBorders>
          </w:tcPr>
          <w:p w14:paraId="7D698922" w14:textId="77A0876B"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Pr>
                <w:rFonts w:ascii="Aptos" w:hAnsi="Aptos" w:cs="Aptos" w:hint="cs" w:eastAsia="Aptos"/>
                <w:color w:val="FFFFFF"/>
                <w:sz w:val="18"/>
                <w:szCs w:val="18"/>
              </w:rPr>
              <w:t xml:space="preserve">The advance</w:t>
            </w:r>
          </w:p>
        </w:tc>
      </w:tr>
      <w:tr w:rsidR="00BE2257" w14:paraId="47373E6F" w14:textId="195F2731" w:rsidTr="007009E1">
        <w:trPr>
          <w:cantSplit/>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20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12CD0A8E" w14:textId="3FF3DC9C" w:rsidR="00BE2257" w:rsidRPr="00BE2257" w:rsidRDefault="00BE2257" w:rsidP="007009E1">
            <w:pPr>
              <w:spacing w:line="276" w:lineRule="auto"/>
              <w:rPr>
                <w:sz w:val="18"/>
                <w:szCs w:val="18"/>
              </w:rPr>
            </w:pPr>
            <w:r>
              <w:rPr>
                <w:rFonts w:ascii="Aptos" w:eastAsia="Aptos" w:hAnsi="Aptos" w:cs="Aptos"/>
                <w:b/>
                <w:bCs/>
                <w:sz w:val="20"/>
                <w:szCs w:val="20"/>
              </w:rPr>
              <w:t xml:space="preserve">The Client cancels for its own reasons</w:t>
            </w:r>
          </w:p>
        </w:tc>
        <w:tc>
          <w:tcPr>
            <w:tcW w:w="23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338C56D" w14:textId="60D668FF"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Pr>
                <w:rFonts w:ascii="Aptos" w:eastAsia="Aptos" w:hAnsi="Aptos" w:cs="Aptos"/>
                <w:sz w:val="20"/>
                <w:szCs w:val="20"/>
              </w:rPr>
              <w:t xml:space="preserve">Written notice from the Client, effective when received</w:t>
            </w:r>
          </w:p>
        </w:tc>
        <w:tc>
          <w:tcPr>
            <w:tcW w:w="22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43BF305" w14:textId="521E7635" w:rsidR="00BE2257" w:rsidRPr="00BE2257" w:rsidRDefault="007009E1"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Pr>
                <w:rFonts w:ascii="Aptos" w:eastAsia="Aptos" w:hAnsi="Aptos" w:cs="Aptos"/>
                <w:sz w:val="20"/>
                <w:szCs w:val="20"/>
              </w:rPr>
              <w:t xml:space="preserve">The value of work performed and third-party costs committed, up to the date of notice</w:t>
            </w:r>
          </w:p>
        </w:tc>
        <w:tc>
          <w:tcPr>
            <w:tcW w:w="22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6B5736A" w14:textId="1CA4DD5B" w:rsidR="00BE2257" w:rsidRPr="00BE2257" w:rsidRDefault="007009E1"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Pr>
                <w:rFonts w:ascii="Aptos" w:eastAsia="Aptos" w:hAnsi="Aptos" w:cs="Aptos"/>
                <w:sz w:val="20"/>
                <w:szCs w:val="20"/>
              </w:rPr>
              <w:t xml:space="preserve">Kept by the Provider</w:t>
            </w:r>
          </w:p>
        </w:tc>
      </w:tr>
      <w:tr w:rsidR="00BE2257" w14:paraId="47373E6F" w14:textId="195F2731" w:rsidTr="007009E1">
        <w:trPr>
          <w:cantSplit/>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20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1BEC420F" w14:textId="19B1FF56" w:rsidR="00BE2257" w:rsidRPr="00BE2257" w:rsidRDefault="00BE2257" w:rsidP="007009E1">
            <w:pPr>
              <w:spacing w:line="276" w:lineRule="auto"/>
              <w:rPr>
                <w:sz w:val="18"/>
                <w:szCs w:val="18"/>
              </w:rPr>
            </w:pPr>
            <w:r>
              <w:rPr>
                <w:rFonts w:ascii="Aptos" w:eastAsia="Aptos" w:hAnsi="Aptos" w:cs="Aptos"/>
                <w:b/>
                <w:bCs/>
                <w:sz w:val="20"/>
                <w:szCs w:val="20"/>
              </w:rPr>
              <w:t xml:space="preserve">The Client materially breaches this Agreement, including by not paying an invoice when due</w:t>
            </w:r>
          </w:p>
        </w:tc>
        <w:tc>
          <w:tcPr>
            <w:tcW w:w="23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1A9D086C" w14:textId="60E2FF09"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Pr>
                <w:rFonts w:ascii="Aptos" w:eastAsia="Aptos" w:hAnsi="Aptos" w:cs="Aptos"/>
                <w:sz w:val="20"/>
                <w:szCs w:val="20"/>
              </w:rPr>
              <w:t xml:space="preserve">Written notice from the Provider. If the breach is not remedied within 14 days, a further written notice ends it</w:t>
            </w:r>
          </w:p>
        </w:tc>
        <w:tc>
          <w:tcPr>
            <w:tcW w:w="22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08C6F2E" w14:textId="30A9C200" w:rsidR="00BE2257" w:rsidRPr="00BE2257" w:rsidRDefault="007009E1"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Pr>
                <w:rFonts w:ascii="Aptos" w:eastAsia="Aptos" w:hAnsi="Aptos" w:cs="Aptos"/>
                <w:sz w:val="20"/>
                <w:szCs w:val="20"/>
              </w:rPr>
              <w:t xml:space="preserve">The value of work performed and third-party costs committed, up to the date it ends</w:t>
            </w:r>
          </w:p>
        </w:tc>
        <w:tc>
          <w:tcPr>
            <w:tcW w:w="22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E6B0FF6" w14:textId="43865AC4" w:rsidR="00BE2257" w:rsidRPr="00BE2257" w:rsidRDefault="007009E1"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Pr>
                <w:rFonts w:ascii="Aptos" w:eastAsia="Aptos" w:hAnsi="Aptos" w:cs="Aptos"/>
                <w:sz w:val="20"/>
                <w:szCs w:val="20"/>
              </w:rPr>
              <w:t xml:space="preserve">Kept by the Provider</w:t>
            </w:r>
          </w:p>
        </w:tc>
      </w:tr>
      <w:tr w:rsidR="00BE2257" w14:paraId="47373E6F" w14:textId="195F2731" w:rsidTr="007009E1">
        <w:trPr>
          <w:cantSplit/>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20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1D194032" w14:textId="19DF553F" w:rsidR="00BE2257" w:rsidRPr="00BE2257" w:rsidRDefault="00BE2257" w:rsidP="007009E1">
            <w:pPr>
              <w:spacing w:line="276" w:lineRule="auto"/>
              <w:rPr>
                <w:sz w:val="18"/>
                <w:szCs w:val="18"/>
              </w:rPr>
            </w:pPr>
            <w:r>
              <w:rPr>
                <w:rFonts w:ascii="Aptos" w:eastAsia="Aptos" w:hAnsi="Aptos" w:cs="Aptos"/>
                <w:b/>
                <w:bCs/>
                <w:sz w:val="20"/>
                <w:szCs w:val="20"/>
              </w:rPr>
              <w:t xml:space="preserve">The Client does not respond (section 15.0)</w:t>
            </w:r>
          </w:p>
        </w:tc>
        <w:tc>
          <w:tcPr>
            <w:tcW w:w="23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554DFA2" w14:textId="6679EBAD"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Pr>
                <w:rFonts w:ascii="Aptos" w:eastAsia="Aptos" w:hAnsi="Aptos" w:cs="Aptos"/>
                <w:sz w:val="20"/>
                <w:szCs w:val="20"/>
              </w:rPr>
              <w:t xml:space="preserve">Notice under section 15.0. If the Client does not respond within 10 business days, a further written notice ends it</w:t>
            </w:r>
          </w:p>
        </w:tc>
        <w:tc>
          <w:tcPr>
            <w:tcW w:w="22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196496E" w14:textId="7445F5D0" w:rsidR="00BE2257" w:rsidRPr="00BE2257" w:rsidRDefault="007009E1"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Pr>
                <w:rFonts w:ascii="Aptos" w:eastAsia="Aptos" w:hAnsi="Aptos" w:cs="Aptos"/>
                <w:sz w:val="20"/>
                <w:szCs w:val="20"/>
              </w:rPr>
              <w:t xml:space="preserve">The value of work performed and third-party costs committed, up to the date it ends</w:t>
            </w:r>
          </w:p>
        </w:tc>
        <w:tc>
          <w:tcPr>
            <w:tcW w:w="22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185461FE" w14:textId="2D7AF876" w:rsidR="00BE2257" w:rsidRPr="00BE2257" w:rsidRDefault="007009E1"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Pr>
                <w:rFonts w:ascii="Aptos" w:eastAsia="Aptos" w:hAnsi="Aptos" w:cs="Aptos"/>
                <w:sz w:val="20"/>
                <w:szCs w:val="20"/>
              </w:rPr>
              <w:t xml:space="preserve">Kept by the Provider</w:t>
            </w:r>
          </w:p>
        </w:tc>
      </w:tr>
      <w:tr w:rsidR="00BE2257" w14:paraId="47373E6F" w14:textId="195F2731" w:rsidTr="007009E1">
        <w:trPr>
          <w:cantSplit/>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20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80A427F" w14:textId="22082989" w:rsidR="00BE2257" w:rsidRPr="00BE2257" w:rsidRDefault="00BE2257" w:rsidP="007009E1">
            <w:pPr>
              <w:spacing w:line="276" w:lineRule="auto"/>
              <w:rPr>
                <w:sz w:val="18"/>
                <w:szCs w:val="18"/>
              </w:rPr>
            </w:pPr>
            <w:r>
              <w:rPr>
                <w:rFonts w:ascii="Aptos" w:eastAsia="Aptos" w:hAnsi="Aptos" w:cs="Aptos"/>
                <w:b/>
                <w:bCs/>
                <w:sz w:val="20"/>
                <w:szCs w:val="20"/>
              </w:rPr>
              <w:t xml:space="preserve">The Provider materially breaches this Agreement</w:t>
            </w:r>
          </w:p>
        </w:tc>
        <w:tc>
          <w:tcPr>
            <w:tcW w:w="23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AD1D79C" w14:textId="66F45B0B"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Pr>
                <w:rFonts w:ascii="Aptos" w:eastAsia="Aptos" w:hAnsi="Aptos" w:cs="Aptos"/>
                <w:sz w:val="20"/>
                <w:szCs w:val="20"/>
              </w:rPr>
              <w:t xml:space="preserve">Written notice from the Client. If the breach is not remedied within 14 days, a further written notice ends it</w:t>
            </w:r>
          </w:p>
        </w:tc>
        <w:tc>
          <w:tcPr>
            <w:tcW w:w="22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3C1E9EE" w14:textId="4ED1D62F" w:rsidR="00BE2257" w:rsidRPr="00BE2257" w:rsidRDefault="007009E1"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Pr>
                <w:rFonts w:ascii="Aptos" w:eastAsia="Aptos" w:hAnsi="Aptos" w:cs="Aptos"/>
                <w:sz w:val="20"/>
                <w:szCs w:val="20"/>
              </w:rPr>
              <w:t xml:space="preserve">Only work delivered that the Client can use, and third-party costs committed with its approval</w:t>
            </w:r>
          </w:p>
        </w:tc>
        <w:tc>
          <w:tcPr>
            <w:tcW w:w="22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6EACD7F" w14:textId="65EDBE85" w:rsidR="00BE2257" w:rsidRPr="00BE2257" w:rsidRDefault="007009E1"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Pr>
                <w:rFonts w:ascii="Aptos" w:eastAsia="Aptos" w:hAnsi="Aptos" w:cs="Aptos"/>
                <w:sz w:val="20"/>
                <w:szCs w:val="20"/>
              </w:rPr>
              <w:t xml:space="preserve">Counts toward the work; any excess is refunded</w:t>
            </w:r>
          </w:p>
        </w:tc>
      </w:tr>
      <w:tr w:rsidR="00BE2257" w14:paraId="47373E6F" w14:textId="195F2731" w:rsidTr="007009E1">
        <w:trPr>
          <w:cantSplit/>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20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A65CDA2" w14:textId="1C99609C" w:rsidR="00BE2257" w:rsidRPr="00BE2257" w:rsidRDefault="00BE2257" w:rsidP="007009E1">
            <w:pPr>
              <w:spacing w:line="276" w:lineRule="auto"/>
              <w:rPr>
                <w:sz w:val="18"/>
                <w:szCs w:val="18"/>
              </w:rPr>
            </w:pPr>
            <w:r>
              <w:rPr>
                <w:rFonts w:ascii="Aptos" w:eastAsia="Aptos" w:hAnsi="Aptos" w:cs="Aptos"/>
                <w:b/>
                <w:bCs/>
                <w:sz w:val="20"/>
                <w:szCs w:val="20"/>
              </w:rPr>
              <w:t xml:space="preserve">The Provider ends it for its own reasons</w:t>
            </w:r>
          </w:p>
        </w:tc>
        <w:tc>
          <w:tcPr>
            <w:tcW w:w="23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DC859AB" w14:textId="54E05071"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Pr>
                <w:rFonts w:ascii="Aptos" w:eastAsia="Aptos" w:hAnsi="Aptos" w:cs="Aptos"/>
                <w:sz w:val="20"/>
                <w:szCs w:val="20"/>
              </w:rPr>
              <w:t xml:space="preserve">14 days’ written notice from the Provider</w:t>
            </w:r>
          </w:p>
        </w:tc>
        <w:tc>
          <w:tcPr>
            <w:tcW w:w="22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2E9BF09" w14:textId="50921305" w:rsidR="00BE2257" w:rsidRPr="00BE2257" w:rsidRDefault="007009E1"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Pr>
                <w:rFonts w:ascii="Aptos" w:eastAsia="Aptos" w:hAnsi="Aptos" w:cs="Aptos"/>
                <w:sz w:val="20"/>
                <w:szCs w:val="20"/>
              </w:rPr>
              <w:t xml:space="preserve">Nothing further</w:t>
            </w:r>
          </w:p>
        </w:tc>
        <w:tc>
          <w:tcPr>
            <w:tcW w:w="22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A129AD9" w14:textId="3D56EEC2" w:rsidR="00BE2257" w:rsidRPr="00BE2257" w:rsidRDefault="007009E1"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Pr>
                <w:rFonts w:ascii="Aptos" w:eastAsia="Aptos" w:hAnsi="Aptos" w:cs="Aptos"/>
                <w:sz w:val="20"/>
                <w:szCs w:val="20"/>
              </w:rPr>
              <w:t xml:space="preserve">Refunded in full, with any payment for work not yet performed</w:t>
            </w:r>
          </w:p>
        </w:tc>
      </w:tr>
      <w:tr w:rsidR="00BE2257" w14:paraId="47373E6F" w14:textId="195F2731" w:rsidTr="007009E1">
        <w:trPr>
          <w:cantSplit/>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20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2BC87FC" w14:textId="4BE2B457" w:rsidR="00BE2257" w:rsidRPr="00BE2257" w:rsidRDefault="00BE2257" w:rsidP="007009E1">
            <w:pPr>
              <w:spacing w:line="276" w:lineRule="auto"/>
              <w:rPr>
                <w:sz w:val="18"/>
                <w:szCs w:val="18"/>
              </w:rPr>
            </w:pPr>
            <w:r>
              <w:rPr>
                <w:rFonts w:ascii="Aptos" w:eastAsia="Aptos" w:hAnsi="Aptos" w:cs="Aptos"/>
                <w:b/>
                <w:bCs/>
                <w:sz w:val="20"/>
                <w:szCs w:val="20"/>
              </w:rPr>
              <w:t xml:space="preserve">An event beyond either party’s control prevents work for more than 30 consecutive days (section 15.0)</w:t>
            </w:r>
          </w:p>
        </w:tc>
        <w:tc>
          <w:tcPr>
            <w:tcW w:w="23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B29F5B6" w14:textId="76F2802D"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Pr>
                <w:rFonts w:ascii="Aptos" w:eastAsia="Aptos" w:hAnsi="Aptos" w:cs="Aptos"/>
                <w:sz w:val="20"/>
                <w:szCs w:val="20"/>
              </w:rPr>
              <w:t xml:space="preserve">Written notice from either party</w:t>
            </w:r>
          </w:p>
        </w:tc>
        <w:tc>
          <w:tcPr>
            <w:tcW w:w="22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D18B155" w14:textId="7859C62A" w:rsidR="00BE2257" w:rsidRPr="00BE2257" w:rsidRDefault="007009E1"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Pr>
                <w:rFonts w:ascii="Aptos" w:eastAsia="Aptos" w:hAnsi="Aptos" w:cs="Aptos"/>
                <w:sz w:val="20"/>
                <w:szCs w:val="20"/>
              </w:rPr>
              <w:t xml:space="preserve">The value of work performed and third-party costs committed, up to the date of notice</w:t>
            </w:r>
          </w:p>
        </w:tc>
        <w:tc>
          <w:tcPr>
            <w:tcW w:w="22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81957A9" w14:textId="2D90A33B" w:rsidR="00BE2257" w:rsidRPr="00BE2257" w:rsidRDefault="007009E1"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Pr>
                <w:rFonts w:ascii="Aptos" w:eastAsia="Aptos" w:hAnsi="Aptos" w:cs="Aptos"/>
                <w:sz w:val="20"/>
                <w:szCs w:val="20"/>
              </w:rPr>
              <w:t xml:space="preserve">Counts toward the work; any excess is refunded</w:t>
            </w:r>
          </w:p>
        </w:tc>
      </w:tr>
    </w:tbl>
    <w:p w14:paraId="6C04D46D" w14:textId="15FD6AE8" w:rsidR="00FB3DFF" w:rsidRDefault="00FB3DFF">
      <w:pPr>
        <w:spacing w:line="160" w:lineRule="auto"/>
        <w:jc w:val="both"/>
        <w:rPr>
          <w:rFonts w:ascii="Aptos" w:eastAsia="Aptos" w:hAnsi="Aptos" w:cs="Aptos"/>
          <w:sz w:val="20"/>
          <w:szCs w:val="20"/>
        </w:rPr>
      </w:pPr>
    </w:p>
    <w:p w14:paraId="2AF8BECD" w14:textId="7D7AC0BC"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13.2 Payment and refunds</w:t>
      </w:r>
    </w:p>
    <w:p w14:paraId="3544D04F" w14:textId="756210D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value of work performed is the share of the total fee for the work completed up to the date this Agreement ends, assessed against the milestones in section 2.5 and the timeline in section 3.1. Third-party costs committed are those the Client approved under section 5.0 that cannot be cancelled or recovered.</w:t>
      </w:r>
    </w:p>
    <w:p w14:paraId="4FFDD86D" w14:textId="77F2A69B" w:rsidR="00FB3DFF" w:rsidRDefault="00FB3DFF">
      <w:pPr>
        <w:spacing w:line="140" w:lineRule="auto"/>
        <w:jc w:val="both"/>
        <w:rPr>
          <w:rFonts w:ascii="Aptos" w:eastAsia="Aptos" w:hAnsi="Aptos" w:cs="Aptos"/>
          <w:sz w:val="20"/>
          <w:szCs w:val="20"/>
        </w:rPr>
      </w:pPr>
    </w:p>
    <w:p w14:paraId="11F7E16F" w14:textId="4152132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Where the advance is kept, the Client pays the greater of the advance and the value of work performed together with third-party costs committed, and never the advance in addition to them. Where the advance counts toward the work, it is credited against what the Client pays. The Provider invoices any amount payable when this Agreement ends, which is due within 14 days, and refunds any amount the Client has paid above what is payable within 30 days.</w:t>
      </w:r>
    </w:p>
    <w:p w14:paraId="12C19C9C" w14:textId="67DD18C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13.3 Handover when this Agreement ends</w:t>
      </w:r>
    </w:p>
    <w:p w14:paraId="62CECF8A" w14:textId="6D5A77F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Within 10 business days of payment of any amount due under section 13.2, the Provider will deliver the work the Client has paid for, including the items in section 3.5 that exist for that work, and will return the Client’s own materials. The Client then has the rights in that work set out in section 11.0. Accounts held in the Client’s name, and the Client’s content and data, remain the Client’s and are never withheld. The Provider may withhold only work not yet paid for, under section 14.0.</w:t>
      </w:r>
    </w:p>
    <w:p w14:paraId="2138231D" w14:textId="2E96B639"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13.4 Dissatisfaction</w:t>
      </w:r>
    </w:p>
    <w:p w14:paraId="4C38D3A5" w14:textId="570D6CD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is dissatisfied with the quality of the Provider’s work, the Client will inform the Provider in writing and allow it a reasonable opportunity to remedy the issue. If the work does not meet this Agreement and is not remedied within 14 days, the Client may end this Agreement as for a breach by the Provider. Otherwise, ending it is a cancellation by the Client.</w:t>
      </w:r>
    </w:p>
    <w:p w14:paraId="4140E5F1" w14:textId="2CB7ECB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13.5 What continues</w:t>
      </w:r>
    </w:p>
    <w:p w14:paraId="30EBA645" w14:textId="3AD41BE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Sections 10.0, 11.0, 12.0, 13.0, 14.0 and 18.0 continue to apply after this Agreement ends.</w:t>
      </w:r>
    </w:p>
    <w:p w14:paraId="763D3F26" w14:textId="2D27FD78"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7769EA5" w14:textId="61ED978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14.0 Lien</w:t>
      </w:r>
    </w:p>
    <w:p w14:paraId="3116DC62" w14:textId="7DD7A02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may withhold work it has performed that the Client has not yet paid for, until that payment is made. The Provider never withholds the Client’s own materials, content or data, the domain, hosting and other accounts held in the Client’s name or access to them, or any work the Client has paid for.</w:t>
      </w:r>
    </w:p>
    <w:p w14:paraId="7E5538BC" w14:textId="5AC7A7C1"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C2A60FE" w14:textId="2894D029"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15.0 Production Schedules</w:t>
      </w:r>
    </w:p>
    <w:p w14:paraId="785FDB23" w14:textId="3343BE4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Production schedules will be established and adhered to by both the Client and the Provider, provided that neither shall incur any liability, penalty or additional cost due to delays caused by war, riot, civil disorder, fire, labour disputes or strikes, accidents, energy failure, equipment breakdown, delays in shipment by suppliers or carriers, action of government or civil authority, acts of God, or other causes beyond the control of the Client or the Provider. Where production schedules are not adhered to by the Client, the final delivery date or dates will be adjusted accordingly. If such an event prevents work for more than 30 consecutive days, either party may end this Agreement under section 13.0.</w:t>
      </w:r>
    </w:p>
    <w:p w14:paraId="1D9B3562" w14:textId="33F6EFF5" w:rsidR="00FB3DFF" w:rsidRDefault="00FB3DFF">
      <w:pPr>
        <w:spacing w:line="140" w:lineRule="auto"/>
        <w:jc w:val="both"/>
        <w:rPr>
          <w:rFonts w:ascii="Aptos" w:eastAsia="Aptos" w:hAnsi="Aptos" w:cs="Aptos"/>
          <w:sz w:val="20"/>
          <w:szCs w:val="20"/>
        </w:rPr>
      </w:pPr>
    </w:p>
    <w:p w14:paraId="30188B7C" w14:textId="7718C93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allocates its resources to meet the Client’s project needs according to schedule, as it works on several projects at any given time. The Client must therefore be available to provide approvals, feedback, content and anything else set out in this ATP, and must otherwise maintain contact with the Provider throughout the project timeline.</w:t>
      </w:r>
    </w:p>
    <w:p w14:paraId="1126064C" w14:textId="7097499E" w:rsidR="00FB3DFF" w:rsidRDefault="00FB3DFF">
      <w:pPr>
        <w:spacing w:line="140" w:lineRule="auto"/>
        <w:jc w:val="both"/>
        <w:rPr>
          <w:rFonts w:ascii="Aptos" w:eastAsia="Aptos" w:hAnsi="Aptos" w:cs="Aptos"/>
          <w:sz w:val="20"/>
          <w:szCs w:val="20"/>
        </w:rPr>
      </w:pPr>
    </w:p>
    <w:p w14:paraId="22A6A437" w14:textId="7492C3F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fails to deliver necessary content, resources or feedback by the time it falls due, delivery dates move back by the length of the delay plus any time the Provider reasonably needs to reschedule its team, which the Provider will confirm in writing. Payment milestones do not move, other than the final payment, which is due on acceptance under section 3.4. If the Client is 7 days or more late, the Provider may move its team to other work, and restarting may take up to as long as the delay.</w:t>
      </w:r>
    </w:p>
    <w:p w14:paraId="2B441CBC" w14:textId="53A6E3BA" w:rsidR="00FB3DFF" w:rsidRDefault="00FB3DFF">
      <w:pPr>
        <w:spacing w:line="140" w:lineRule="auto"/>
        <w:jc w:val="both"/>
        <w:rPr>
          <w:rFonts w:ascii="Aptos" w:eastAsia="Aptos" w:hAnsi="Aptos" w:cs="Aptos"/>
          <w:sz w:val="20"/>
          <w:szCs w:val="20"/>
        </w:rPr>
      </w:pPr>
    </w:p>
    <w:p w14:paraId="107577CC" w14:textId="34A56E65"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does not respond to the Provider for 30 days, the Provider may give the Client written notice that the project will be suspended. If the Client does not respond within 10 business days of that notice, the Provider may suspend the project, and may give a further written notice ending this Agreement under section 13.0. If the Client responds, the parties will agree a revised timetable. Restarting after a suspension of more than 30 days may require the remaining work to be quoted at the Provider’s then-current rates.</w:t>
      </w:r>
    </w:p>
    <w:p w14:paraId="2A988CA3" w14:textId="12E3853E"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5CB77661" w14:textId="73D4B57B"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16.0 Approvals</w:t>
      </w:r>
    </w:p>
    <w:p w14:paraId="58E7CDD9" w14:textId="324B625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will name in writing, at kick-off, one individual with ultimate responsibility for approving the deliverables the Provider creates and presents. That individual must be directly involved throughout the project and must take part in significant events, including the initial discovery meetings, initial design presentations and any planning meetings.</w:t>
      </w:r>
    </w:p>
    <w:p w14:paraId="6F257C94" w14:textId="5F4287EE" w:rsidR="00FB3DFF" w:rsidRDefault="00FB3DFF">
      <w:pPr>
        <w:spacing w:line="140" w:lineRule="auto"/>
        <w:jc w:val="both"/>
        <w:rPr>
          <w:rFonts w:ascii="Aptos" w:eastAsia="Aptos" w:hAnsi="Aptos" w:cs="Aptos"/>
          <w:sz w:val="20"/>
          <w:szCs w:val="20"/>
        </w:rPr>
      </w:pPr>
    </w:p>
    <w:p w14:paraId="1684AB9C" w14:textId="7202A4C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designs, wireframes or page or screen content are sent by email to that individual for approval and the Client does not approve or reject them within 5 business days, the Provider will send a reminder stating that they will be deemed approved. If the Client has still not responded 3 business days after that reminder, they are deemed approved. Approval is never deemed for legal, privacy or regulatory wording, the accuracy of factual content, payments, or the release of the </w:t>
      </w:r>
      <w:r>
        <w:rPr>
          <w:rFonts w:ascii="Aptos" w:eastAsia="Aptos" w:hAnsi="Aptos" w:cs="Aptos"/>
          <w:sz w:val="20"/>
          <w:szCs w:val="20"/>
        </w:rPr>
        <w:t xml:space="preserve">{{deliverable}}</w:t>
      </w:r>
      <w:r>
        <w:rPr>
          <w:rFonts w:ascii="Aptos" w:eastAsia="Aptos" w:hAnsi="Aptos" w:cs="Aptos"/>
          <w:sz w:val="20"/>
          <w:szCs w:val="20"/>
        </w:rPr>
        <w:t xml:space="preserve"> to the public. Acceptance has its own process under section 3.4.</w:t>
      </w:r>
    </w:p>
    <w:p w14:paraId="16074156" w14:textId="2C5E30B5"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04824FA" w14:textId="49052B3B"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17.0 Additional Provisions</w:t>
      </w:r>
    </w:p>
    <w:p w14:paraId="3D4FE935" w14:textId="2C86611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validity, enforceability and interpretation of this Agreement are governed by the laws of the Democratic Socialist Republic of Sri Lanka as applicable to agreements entered into and performed in Sri Lanka.</w:t>
      </w:r>
    </w:p>
    <w:p w14:paraId="3E122BCD" w14:textId="24D3A8F5" w:rsidR="00FB3DFF" w:rsidRDefault="00FB3DFF">
      <w:pPr>
        <w:spacing w:line="140" w:lineRule="auto"/>
        <w:jc w:val="both"/>
        <w:rPr>
          <w:rFonts w:ascii="Aptos" w:eastAsia="Aptos" w:hAnsi="Aptos" w:cs="Aptos"/>
          <w:sz w:val="20"/>
          <w:szCs w:val="20"/>
        </w:rPr>
      </w:pPr>
    </w:p>
    <w:p w14:paraId="38D1B6A7" w14:textId="578573B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This Agreement, together with any addendum executed by both parties, is the entire agreement between the parties and supersedes all prior proposals, quotations and communications, including the Provider’s proposal </w:t>
      </w:r>
      <w:r>
        <w:rPr>
          <w:rFonts w:ascii="Aptos" w:eastAsia="Aptos" w:hAnsi="Aptos" w:cs="Aptos"/>
          <w:sz w:val="20"/>
          <w:szCs w:val="20"/>
        </w:rPr>
        <w:t xml:space="preserve">{{proposal.ref}}</w:t>
      </w:r>
      <w:r>
        <w:rPr>
          <w:rFonts w:ascii="Aptos" w:eastAsia="Aptos" w:hAnsi="Aptos" w:cs="Aptos"/>
          <w:sz w:val="20"/>
          <w:szCs w:val="20"/>
        </w:rPr>
        <w:t xml:space="preserve">. It may be modified only by an addendum executed by both parties. If any provision of this Agreement is found to be illegal or unenforceable, the remaining provisions are not affected.</w:t>
      </w:r>
    </w:p>
    <w:p w14:paraId="5DB5D545" w14:textId="7896592B" w:rsidR="00FB3DFF" w:rsidRDefault="00FB3DFF">
      <w:pPr>
        <w:spacing w:line="140" w:lineRule="auto"/>
        <w:jc w:val="both"/>
        <w:rPr>
          <w:rFonts w:ascii="Aptos" w:eastAsia="Aptos" w:hAnsi="Aptos" w:cs="Aptos"/>
          <w:sz w:val="20"/>
          <w:szCs w:val="20"/>
        </w:rPr>
      </w:pPr>
    </w:p>
    <w:p w14:paraId="777ABEED" w14:textId="485A213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This Agreement may be signed electronically and in counterparts, each of which is an original and which together form one agreement. Each person signing confirms that they are authorised to sign for the party they represent. Witness signatures are optional.</w:t>
      </w:r>
    </w:p>
    <w:p w14:paraId="5C9A53A4" w14:textId="64D42623"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C9E42A9" w14:textId="3A7C1E66"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18.0 Dispute Resolution</w:t>
      </w:r>
    </w:p>
    <w:p w14:paraId="6DBE5551" w14:textId="740058D5"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a dispute arises out of or in connection with this Agreement and the parties do not resolve it through discussion, the following applies:</w:t>
      </w:r>
    </w:p>
    <w:p w14:paraId="43E88289" w14:textId="3EE91711" w:rsidR="00FB3DFF" w:rsidRDefault="00FB3DFF">
      <w:pPr>
        <w:spacing w:line="140" w:lineRule="auto"/>
        <w:jc w:val="both"/>
        <w:rPr>
          <w:rFonts w:ascii="Aptos" w:eastAsia="Aptos" w:hAnsi="Aptos" w:cs="Aptos"/>
          <w:sz w:val="20"/>
          <w:szCs w:val="20"/>
        </w:rPr>
      </w:pPr>
    </w:p>
    <w:p w14:paraId="4420AA6D" w14:textId="306E5604"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 xml:space="preserve">18.1 </w:t>
      </w:r>
      <w:r>
        <w:rPr>
          <w:rFonts w:ascii="Aptos" w:eastAsia="Aptos" w:hAnsi="Aptos" w:cs="Aptos"/>
          <w:sz w:val="20"/>
          <w:szCs w:val="20"/>
        </w:rPr>
        <w:t xml:space="preserve">Either party may give the other written notice requesting negotiation. The notice shall be given promptly, to prevent further damage resulting from delay, and shall specify the issues in dispute.</w:t>
      </w:r>
    </w:p>
    <w:p w14:paraId="1C326922" w14:textId="61420570" w:rsidR="00FB3DFF" w:rsidRDefault="00FB3DFF">
      <w:pPr>
        <w:spacing w:line="140" w:lineRule="auto"/>
        <w:jc w:val="both"/>
        <w:rPr>
          <w:rFonts w:ascii="Aptos" w:eastAsia="Aptos" w:hAnsi="Aptos" w:cs="Aptos"/>
          <w:sz w:val="20"/>
          <w:szCs w:val="20"/>
        </w:rPr>
      </w:pPr>
    </w:p>
    <w:p w14:paraId="1BBD26F3" w14:textId="46244351"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 xml:space="preserve">18.2 </w:t>
      </w:r>
      <w:r>
        <w:rPr>
          <w:rFonts w:ascii="Aptos" w:eastAsia="Aptos" w:hAnsi="Aptos" w:cs="Aptos"/>
          <w:sz w:val="20"/>
          <w:szCs w:val="20"/>
        </w:rPr>
        <w:t xml:space="preserve">Negotiations shall take place first between representatives of the Client and the Provider.</w:t>
      </w:r>
    </w:p>
    <w:p w14:paraId="48BE7E04" w14:textId="1D129187" w:rsidR="00FB3DFF" w:rsidRDefault="00FB3DFF">
      <w:pPr>
        <w:spacing w:line="140" w:lineRule="auto"/>
        <w:jc w:val="both"/>
        <w:rPr>
          <w:rFonts w:ascii="Aptos" w:eastAsia="Aptos" w:hAnsi="Aptos" w:cs="Aptos"/>
          <w:sz w:val="20"/>
          <w:szCs w:val="20"/>
        </w:rPr>
      </w:pPr>
    </w:p>
    <w:p w14:paraId="6E3C4F5F" w14:textId="2D962CD4"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 xml:space="preserve">18.3 </w:t>
      </w:r>
      <w:r>
        <w:rPr>
          <w:rFonts w:ascii="Aptos" w:eastAsia="Aptos" w:hAnsi="Aptos" w:cs="Aptos"/>
          <w:sz w:val="20"/>
          <w:szCs w:val="20"/>
        </w:rPr>
        <w:t xml:space="preserve">All information exchanged during these negotiations shall be regarded as “without prejudice” communications for the purpose of settlement negotiations and shall be treated as confidential by the parties and their representatives, unless otherwise required by law. However, evidence that is independently admissible or discoverable shall not be rendered inadmissible or non-discoverable by virtue of its use during the negotiations.</w:t>
      </w:r>
    </w:p>
    <w:p w14:paraId="21D97118" w14:textId="69B93D89" w:rsidR="00FB3DFF" w:rsidRDefault="00FB3DFF">
      <w:pPr>
        <w:spacing w:line="140" w:lineRule="auto"/>
        <w:jc w:val="both"/>
        <w:rPr>
          <w:rFonts w:ascii="Aptos" w:eastAsia="Aptos" w:hAnsi="Aptos" w:cs="Aptos"/>
          <w:sz w:val="20"/>
          <w:szCs w:val="20"/>
        </w:rPr>
      </w:pPr>
    </w:p>
    <w:p w14:paraId="2D52CF60" w14:textId="19DFF156"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 xml:space="preserve">18.4 </w:t>
      </w:r>
      <w:r>
        <w:rPr>
          <w:rFonts w:ascii="Aptos" w:eastAsia="Aptos" w:hAnsi="Aptos" w:cs="Aptos"/>
          <w:sz w:val="20"/>
          <w:szCs w:val="20"/>
        </w:rPr>
        <w:t xml:space="preserve">If the parties do not resolve some or all of the issues in dispute through negotiations within 60 days after notice has been given, the parties shall attempt to resolve the dispute through mediation in Colombo, before a mediator agreed by the parties or, failing agreement within 14 days, a mediator appointed by the CCC-ICLP International ADR Center, Colombo, with the mediator’s fees shared equally. If the dispute is not resolved within 60 days of the mediator’s appointment, either party may refer it to the courts of Colombo.</w:t>
      </w:r>
    </w:p>
    <w:p w14:paraId="5DDD5646" w14:textId="46FA7EC5" w:rsidR="00FB3DFF" w:rsidRDefault="00FB3DFF">
      <w:pPr>
        <w:spacing w:line="140" w:lineRule="auto"/>
        <w:jc w:val="both"/>
        <w:rPr>
          <w:rFonts w:ascii="Aptos" w:eastAsia="Aptos" w:hAnsi="Aptos" w:cs="Aptos"/>
          <w:sz w:val="20"/>
          <w:szCs w:val="20"/>
        </w:rPr>
      </w:pPr>
    </w:p>
    <w:p w14:paraId="149EDDE0" w14:textId="586C1621" w:rsidR="00FB3DFF" w:rsidRDefault="00000000">
      <w:pPr>
        <w:keepNext/>
        <w:pageBreakBefore/>
        <w:spacing w:line="280" w:lineRule="auto"/>
        <w:jc w:val="both"/>
        <w:rPr>
          <w:rFonts w:ascii="Aptos" w:eastAsia="Aptos" w:hAnsi="Aptos" w:cs="Aptos"/>
          <w:sz w:val="20"/>
          <w:szCs w:val="20"/>
        </w:rPr>
      </w:pPr>
      <w:r>
        <w:rPr>
          <w:rFonts w:ascii="Aptos" w:eastAsia="Aptos" w:hAnsi="Aptos" w:cs="Aptos"/>
          <w:sz w:val="20"/>
          <w:szCs w:val="20"/>
        </w:rPr>
        <w:t xml:space="preserve">The Provider and the Client agree to the responsibilities and estimates described in this Authorization to Proceed and Terms. The Client agrees to pay the fees set out in this document and authorises the Provider to proceed with the work described in it, based on the time estimates provided.</w:t>
      </w:r>
    </w:p>
    <w:p w14:paraId="379E11ED" w14:textId="4A49D7E2" w:rsidR="00FB3DFF" w:rsidRDefault="00FB3DFF">
      <w:pPr>
        <w:keepNext/>
        <w:spacing w:line="14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700"/>
        <w:gridCol w:w="2725"/>
        <w:gridCol w:w="1700"/>
        <w:gridCol w:w="2725"/>
      </w:tblGrid>
      <w:tr w:rsidR="00FB3DFF" w14:paraId="56A44751" w14:textId="7CC6FA3E">
        <w:trPr>
          <w:trHeight w:val="400"/>
          <w:tblHeader/>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490E7328" w14:textId="25B3660D"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 xml:space="preserve">{{client.legal_name}}</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39C0EF32" w14:textId="66E366A1"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 xml:space="preserve">{{provider.legal_name}}</w:t>
            </w:r>
          </w:p>
        </w:tc>
      </w:tr>
      <w:tr w:rsidR="00FB3DFF" w14:paraId="7FBDE231" w14:textId="610D33D8">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DE0EF7E" w14:textId="2315D9A3"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2715B57" w14:textId="520B1FB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5198C7F" w14:textId="5EA6940F"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36EBBFE8" w14:textId="7C697C70" w:rsidR="00FB3DFF" w:rsidRDefault="00000000">
            <w:pPr>
              <w:keepNext/>
              <w:rPr>
                <w:rFonts w:ascii="Aptos" w:eastAsia="Aptos" w:hAnsi="Aptos" w:cs="Aptos"/>
                <w:sz w:val="20"/>
                <w:szCs w:val="20"/>
              </w:rPr>
            </w:pPr>
          </w:p>
        </w:tc>
      </w:tr>
      <w:tr w:rsidR="00FB3DFF" w14:paraId="74E75090" w14:textId="483E9F5F">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BA46CCF" w14:textId="1E570696"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5FE11A6D" w14:textId="4D77C62B"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ABD32A7" w14:textId="1076262C"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3D9BCC2D" w14:textId="17BE5CF3" w:rsidR="00FB3DFF" w:rsidRDefault="00000000">
            <w:pPr>
              <w:keepNext/>
              <w:rPr>
                <w:rFonts w:ascii="Aptos" w:eastAsia="Aptos" w:hAnsi="Aptos" w:cs="Aptos"/>
                <w:sz w:val="20"/>
                <w:szCs w:val="20"/>
              </w:rPr>
            </w:pPr>
          </w:p>
        </w:tc>
      </w:tr>
      <w:tr w:rsidR="00FB3DFF" w14:paraId="009E618E" w14:textId="4ADD4608">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948A153" w14:textId="2E6B14F6"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4100B696" w14:textId="5480E2D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75E574F" w14:textId="2F03317B"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4F54D4AB" w14:textId="111A6FBD" w:rsidR="00FB3DFF" w:rsidRDefault="00FB3DFF">
            <w:pPr>
              <w:keepNext/>
              <w:jc w:val="both"/>
              <w:rPr>
                <w:rFonts w:ascii="Aptos" w:eastAsia="Aptos" w:hAnsi="Aptos" w:cs="Aptos"/>
                <w:sz w:val="20"/>
                <w:szCs w:val="20"/>
              </w:rPr>
            </w:pPr>
          </w:p>
        </w:tc>
      </w:tr>
      <w:tr w:rsidR="00FB3DFF" w14:paraId="274A1A8E" w14:textId="2F6AAEE3">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93888F4" w14:textId="2BBFFE99"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71722130" w14:textId="54E52E0A"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1AA540B" w14:textId="7C78796C"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5E04AC9" w14:textId="35D99200" w:rsidR="00FB3DFF" w:rsidRDefault="000D6ECE">
            <w:pPr>
              <w:keepNext w:val="0"/>
              <w:jc w:val="both"/>
              <w:rPr>
                <w:rFonts w:ascii="Aptos" w:eastAsia="Aptos" w:hAnsi="Aptos" w:cs="Aptos"/>
                <w:sz w:val="20"/>
                <w:szCs w:val="20"/>
              </w:rPr>
            </w:pPr>
          </w:p>
        </w:tc>
      </w:tr>
      <w:tr w:rsidR="00FB3DFF" w14:paraId="56A44751" w14:textId="7CC6FA3E">
        <w:trPr>
          <w:trHeight w:val="400"/>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1948AB11" w14:textId="62BDA0F3"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 xml:space="preserve">Witness 1 (optional)</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2DEA5E32" w14:textId="62DE8FA8"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 xml:space="preserve">Witness 2 (optional)</w:t>
            </w:r>
          </w:p>
        </w:tc>
      </w:tr>
      <w:tr w:rsidR="00FB3DFF" w14:paraId="7FBDE231" w14:textId="610D33D8">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C22E5C4" w14:textId="72DC8F3F"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694C4BD2" w14:textId="65D46D04"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B04ED06" w14:textId="2B918216"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370BBEA6" w14:textId="4E797070" w:rsidR="00FB3DFF" w:rsidRDefault="00000000">
            <w:pPr>
              <w:keepNext/>
              <w:rPr>
                <w:rFonts w:ascii="Aptos" w:eastAsia="Aptos" w:hAnsi="Aptos" w:cs="Aptos"/>
                <w:sz w:val="20"/>
                <w:szCs w:val="20"/>
              </w:rPr>
            </w:pPr>
          </w:p>
        </w:tc>
      </w:tr>
      <w:tr w:rsidR="00FB3DFF" w14:paraId="009E618E" w14:textId="4ADD4608">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BA27A54" w14:textId="6CBCB929"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4ECF97AF" w14:textId="5ED755FA"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D06A8E2" w14:textId="2059448A"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44CA3416" w14:textId="167F0572" w:rsidR="00FB3DFF" w:rsidRDefault="00FB3DFF">
            <w:pPr>
              <w:keepNext/>
              <w:jc w:val="both"/>
              <w:rPr>
                <w:rFonts w:ascii="Aptos" w:eastAsia="Aptos" w:hAnsi="Aptos" w:cs="Aptos"/>
                <w:sz w:val="20"/>
                <w:szCs w:val="20"/>
              </w:rPr>
            </w:pPr>
          </w:p>
        </w:tc>
      </w:tr>
      <w:tr w:rsidR="00FB3DFF" w14:paraId="274A1A8E" w14:textId="2F6AAEE3">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2F170B8D" w14:textId="1F5D29A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24D05FB1" w14:textId="439DDB92"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2FAFC42" w14:textId="77F4961A"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388A982" w14:textId="18523755" w:rsidR="00FB3DFF" w:rsidRDefault="000D6ECE">
            <w:pPr>
              <w:keepNext w:val="0"/>
              <w:jc w:val="both"/>
              <w:rPr>
                <w:rFonts w:ascii="Aptos" w:eastAsia="Aptos" w:hAnsi="Aptos" w:cs="Aptos"/>
                <w:sz w:val="20"/>
                <w:szCs w:val="20"/>
              </w:rPr>
            </w:pPr>
          </w:p>
        </w:tc>
      </w:tr>
    </w:tbl>
    <w:sectPr w:rsidR="000B707B">
      <w:headerReference w:type="even" r:id="rId9"/>
      <w:headerReference w:type="default" r:id="rId10"/>
      <w:footerReference w:type="even" r:id="rId11"/>
      <w:footerReference w:type="default" r:id="rId12"/>
      <w:headerReference w:type="first" r:id="rId13"/>
      <w:footerReference w:type="first" r:id="rId14"/>
      <w:pgSz w:w="11906" w:h="16838"/>
      <w:pgMar w:top="1440" w:right="1418"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E3638F" w14:textId="77777777" w:rsidR="005D21EB" w:rsidRDefault="005D21EB">
      <w:r>
        <w:separator/>
      </w:r>
    </w:p>
  </w:endnote>
  <w:endnote w:type="continuationSeparator" w:id="0">
    <w:p w14:paraId="0B1127DE" w14:textId="77777777" w:rsidR="005D21EB" w:rsidRDefault="005D2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Georgia">
    <w:panose1 w:val="02040502050405020303"/>
    <w:charset w:val="00"/>
    <w:family w:val="roman"/>
    <w:pitch w:val="variable"/>
    <w:sig w:usb0="00000287" w:usb1="00000000" w:usb2="00000000" w:usb3="00000000" w:csb0="0000009F" w:csb1="00000000"/>
  </w:font>
  <w:font w:name="Rubik">
    <w:panose1 w:val="00000000000000000000"/>
    <w:charset w:val="B1"/>
    <w:family w:val="auto"/>
    <w:pitch w:val="variable"/>
    <w:sig w:usb0="A0002A6F" w:usb1="C000205B" w:usb2="00000000" w:usb3="00000000" w:csb0="000000F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55A6F" w14:textId="77777777" w:rsidR="00D03B17" w:rsidRDefault="00D03B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1F74" w14:textId="77777777" w:rsidR="00FB3DFF" w:rsidRDefault="00000000">
    <w:pPr>
      <w:spacing w:before="520"/>
      <w:jc w:val="center"/>
      <w:rPr>
        <w:rFonts w:ascii="Aptos" w:eastAsia="Aptos" w:hAnsi="Aptos" w:cs="Aptos"/>
      </w:rPr>
    </w:pPr>
    <w:r>
      <w:rPr>
        <w:rFonts w:ascii="Aptos" w:eastAsia="Aptos" w:hAnsi="Aptos" w:cs="Aptos"/>
        <w:sz w:val="16"/>
        <w:szCs w:val="16"/>
      </w:rPr>
      <w:t>{{provider.legal_name}} | {{provider.address}} | {{provider.phone}} | {{provider.email}}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0C114" w14:textId="77777777" w:rsidR="00D03B17" w:rsidRDefault="00D03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46A7F4" w14:textId="77777777" w:rsidR="005D21EB" w:rsidRDefault="005D21EB">
      <w:r>
        <w:separator/>
      </w:r>
    </w:p>
  </w:footnote>
  <w:footnote w:type="continuationSeparator" w:id="0">
    <w:p w14:paraId="0C418B6E" w14:textId="77777777" w:rsidR="005D21EB" w:rsidRDefault="005D2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D71F5" w14:textId="77777777" w:rsidR="00D03B17" w:rsidRDefault="00D03B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B9A3B" w14:textId="77777777" w:rsidR="00FB3DFF" w:rsidRDefault="00000000">
    <w:pPr>
      <w:pBdr>
        <w:top w:val="nil"/>
        <w:left w:val="nil"/>
        <w:bottom w:val="nil"/>
        <w:right w:val="nil"/>
        <w:between w:val="nil"/>
      </w:pBdr>
      <w:tabs>
        <w:tab w:val="center" w:pos="4320"/>
        <w:tab w:val="right" w:pos="8640"/>
      </w:tabs>
      <w:jc w:val="right"/>
      <w:rPr>
        <w:rFonts w:ascii="Aptos" w:eastAsia="Aptos" w:hAnsi="Aptos" w:cs="Aptos"/>
        <w:color w:val="000000"/>
      </w:rPr>
    </w:pPr>
    <w:r>
      <w:rPr>
        <w:rFonts w:ascii="Aptos" w:eastAsia="Aptos" w:hAnsi="Aptos" w:cs="Aptos"/>
        <w:color w:val="000000"/>
        <w:sz w:val="16"/>
        <w:szCs w:val="16"/>
      </w:rPr>
      <w:t>ATP &amp; TERMS  |  {{atp.ref}}</w:t>
    </w:r>
    <w:r>
      <w:rPr>
        <w:rFonts w:ascii="Aptos" w:eastAsia="Aptos" w:hAnsi="Aptos" w:cs="Aptos"/>
        <w:sz w:val="16"/>
        <w:szCs w:val="16"/>
      </w:rPr>
    </w:r>
    <w:r>
      <w:rPr>
        <w:rFonts w:ascii="Aptos" w:eastAsia="Aptos" w:hAnsi="Aptos" w:cs="Aptos"/>
        <w:color w:val="000000"/>
        <w:sz w:val="16"/>
        <w:szCs w:val="16"/>
      </w:rPr>
    </w:r>
    <w:r>
      <w:rPr>
        <w:rFonts w:ascii="Aptos" w:eastAsia="Aptos" w:hAnsi="Aptos" w:cs="Aptos"/>
        <w:sz w:val="16"/>
        <w:szCs w:val="16"/>
      </w:rPr>
    </w:r>
    <w:r>
      <w:rPr>
        <w:rFonts w:ascii="Aptos" w:eastAsia="Aptos" w:hAnsi="Aptos" w:cs="Aptos"/>
        <w:color w:val="000000"/>
        <w:sz w:val="16"/>
        <w:szCs w:val="16"/>
      </w:rPr>
      <w:t xml:space="preserve">  |  Page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PAGE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r>
      <w:rPr>
        <w:rFonts w:ascii="Aptos" w:eastAsia="Aptos" w:hAnsi="Aptos" w:cs="Aptos"/>
        <w:color w:val="000000"/>
        <w:sz w:val="16"/>
        <w:szCs w:val="16"/>
      </w:rPr>
      <w:t xml:space="preserve"> of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NUMPAGES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0AF9" w14:textId="77777777" w:rsidR="00D03B17" w:rsidRDefault="00D03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C1C1F"/>
    <w:multiLevelType w:val="multilevel"/>
    <w:tmpl w:val="FE76852C"/>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num w:numId="1" w16cid:durableId="16650146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DFF"/>
    <w:rsid w:val="00041B48"/>
    <w:rsid w:val="000B707B"/>
    <w:rsid w:val="000D6ECE"/>
    <w:rsid w:val="001E1917"/>
    <w:rsid w:val="005D21EB"/>
    <w:rsid w:val="00676E66"/>
    <w:rsid w:val="007009E1"/>
    <w:rsid w:val="00BE2257"/>
    <w:rsid w:val="00D03B17"/>
    <w:rsid w:val="00FB3D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C738"/>
  <w15:docId w15:val="{B863C15A-3035-C347-8DAF-46F2BB1F9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03B17"/>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D03B1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03B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Aptos" w:eastAsia="Aptos" w:hAnsi="Aptos" w:cs="Aptos"/>
      <w:i/>
      <w:iCs/>
      <w:color w:val="666666"/>
      <w:sz w:val="48"/>
      <w:szCs w:val="48"/>
    </w:rPr>
  </w:style>
  <w:style w:type="table" w:customStyle="1" w:styleId="a">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03B17"/>
    <w:pPr>
      <w:tabs>
        <w:tab w:val="center" w:pos="4680"/>
        <w:tab w:val="right" w:pos="9360"/>
      </w:tabs>
    </w:pPr>
  </w:style>
  <w:style w:type="character" w:customStyle="1" w:styleId="HeaderChar">
    <w:name w:val="Header Char"/>
    <w:basedOn w:val="DefaultParagraphFont"/>
    <w:link w:val="Header"/>
    <w:uiPriority w:val="99"/>
    <w:rsid w:val="00D03B17"/>
  </w:style>
  <w:style w:type="paragraph" w:styleId="Footer">
    <w:name w:val="footer"/>
    <w:basedOn w:val="Normal"/>
    <w:link w:val="FooterChar"/>
    <w:uiPriority w:val="99"/>
    <w:unhideWhenUsed/>
    <w:rsid w:val="00D03B17"/>
    <w:pPr>
      <w:tabs>
        <w:tab w:val="center" w:pos="4680"/>
        <w:tab w:val="right" w:pos="9360"/>
      </w:tabs>
    </w:pPr>
  </w:style>
  <w:style w:type="character" w:customStyle="1" w:styleId="FooterChar">
    <w:name w:val="Footer Char"/>
    <w:basedOn w:val="DefaultParagraphFont"/>
    <w:link w:val="Footer"/>
    <w:uiPriority w:val="99"/>
    <w:rsid w:val="00D03B17"/>
  </w:style>
  <w:style w:type="character" w:styleId="BookTitle">
    <w:name w:val="Book Title"/>
    <w:basedOn w:val="DefaultParagraphFont"/>
    <w:uiPriority w:val="33"/>
    <w:qFormat/>
    <w:rsid w:val="00D03B17"/>
    <w:rPr>
      <w:b/>
      <w:bCs/>
      <w:i/>
      <w:iCs/>
      <w:spacing w:val="5"/>
    </w:rPr>
  </w:style>
  <w:style w:type="paragraph" w:styleId="Caption">
    <w:name w:val="caption"/>
    <w:basedOn w:val="Normal"/>
    <w:next w:val="Normal"/>
    <w:uiPriority w:val="35"/>
    <w:semiHidden/>
    <w:unhideWhenUsed/>
    <w:qFormat/>
    <w:rsid w:val="00D03B17"/>
    <w:pPr>
      <w:spacing w:after="200"/>
    </w:pPr>
    <w:rPr>
      <w:i/>
      <w:iCs/>
      <w:color w:val="1F497D" w:themeColor="text2"/>
      <w:sz w:val="18"/>
      <w:szCs w:val="18"/>
    </w:rPr>
  </w:style>
  <w:style w:type="character" w:styleId="Emphasis">
    <w:name w:val="Emphasis"/>
    <w:basedOn w:val="DefaultParagraphFont"/>
    <w:uiPriority w:val="20"/>
    <w:qFormat/>
    <w:rsid w:val="00D03B17"/>
    <w:rPr>
      <w:i/>
      <w:iCs/>
    </w:rPr>
  </w:style>
  <w:style w:type="character" w:customStyle="1" w:styleId="Heading7Char">
    <w:name w:val="Heading 7 Char"/>
    <w:basedOn w:val="DefaultParagraphFont"/>
    <w:link w:val="Heading7"/>
    <w:uiPriority w:val="9"/>
    <w:semiHidden/>
    <w:rsid w:val="00D03B1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03B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3B1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03B17"/>
    <w:rPr>
      <w:i/>
      <w:iCs/>
      <w:color w:val="4F81BD" w:themeColor="accent1"/>
    </w:rPr>
  </w:style>
  <w:style w:type="paragraph" w:styleId="IntenseQuote">
    <w:name w:val="Intense Quote"/>
    <w:basedOn w:val="Normal"/>
    <w:next w:val="Normal"/>
    <w:link w:val="IntenseQuoteChar"/>
    <w:uiPriority w:val="30"/>
    <w:qFormat/>
    <w:rsid w:val="00D03B1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03B17"/>
    <w:rPr>
      <w:i/>
      <w:iCs/>
      <w:color w:val="4F81BD" w:themeColor="accent1"/>
    </w:rPr>
  </w:style>
  <w:style w:type="character" w:styleId="IntenseReference">
    <w:name w:val="Intense Reference"/>
    <w:basedOn w:val="DefaultParagraphFont"/>
    <w:uiPriority w:val="32"/>
    <w:qFormat/>
    <w:rsid w:val="00D03B17"/>
    <w:rPr>
      <w:b/>
      <w:bCs/>
      <w:smallCaps/>
      <w:color w:val="4F81BD" w:themeColor="accent1"/>
      <w:spacing w:val="5"/>
    </w:rPr>
  </w:style>
  <w:style w:type="paragraph" w:styleId="ListParagraph">
    <w:name w:val="List Paragraph"/>
    <w:basedOn w:val="Normal"/>
    <w:uiPriority w:val="34"/>
    <w:qFormat/>
    <w:rsid w:val="00D03B17"/>
    <w:pPr>
      <w:ind w:left="720"/>
      <w:contextualSpacing/>
    </w:pPr>
  </w:style>
  <w:style w:type="paragraph" w:styleId="NoSpacing">
    <w:name w:val="No Spacing"/>
    <w:uiPriority w:val="1"/>
    <w:qFormat/>
    <w:rsid w:val="00D03B17"/>
  </w:style>
  <w:style w:type="paragraph" w:styleId="Quote">
    <w:name w:val="Quote"/>
    <w:basedOn w:val="Normal"/>
    <w:next w:val="Normal"/>
    <w:link w:val="QuoteChar"/>
    <w:uiPriority w:val="29"/>
    <w:qFormat/>
    <w:rsid w:val="00D03B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03B17"/>
    <w:rPr>
      <w:i/>
      <w:iCs/>
      <w:color w:val="404040" w:themeColor="text1" w:themeTint="BF"/>
    </w:rPr>
  </w:style>
  <w:style w:type="character" w:styleId="Strong">
    <w:name w:val="Strong"/>
    <w:basedOn w:val="DefaultParagraphFont"/>
    <w:uiPriority w:val="22"/>
    <w:qFormat/>
    <w:rsid w:val="00D03B17"/>
    <w:rPr>
      <w:b/>
      <w:bCs/>
    </w:rPr>
  </w:style>
  <w:style w:type="character" w:styleId="SubtleEmphasis">
    <w:name w:val="Subtle Emphasis"/>
    <w:basedOn w:val="DefaultParagraphFont"/>
    <w:uiPriority w:val="19"/>
    <w:qFormat/>
    <w:rsid w:val="00D03B17"/>
    <w:rPr>
      <w:i/>
      <w:iCs/>
      <w:color w:val="404040" w:themeColor="text1" w:themeTint="BF"/>
    </w:rPr>
  </w:style>
  <w:style w:type="character" w:styleId="SubtleReference">
    <w:name w:val="Subtle Reference"/>
    <w:basedOn w:val="DefaultParagraphFont"/>
    <w:uiPriority w:val="31"/>
    <w:qFormat/>
    <w:rsid w:val="00D03B17"/>
    <w:rPr>
      <w:smallCaps/>
      <w:color w:val="5A5A5A" w:themeColor="text1" w:themeTint="A5"/>
    </w:rPr>
  </w:style>
  <w:style w:type="paragraph" w:styleId="TOCHeading">
    <w:name w:val="TOC Heading"/>
    <w:basedOn w:val="Heading1"/>
    <w:next w:val="Normal"/>
    <w:uiPriority w:val="39"/>
    <w:semiHidden/>
    <w:unhideWhenUsed/>
    <w:qFormat/>
    <w:rsid w:val="00D03B17"/>
    <w:pPr>
      <w:spacing w:before="240" w:after="0"/>
      <w:outlineLvl w:val="9"/>
    </w:pPr>
    <w:rPr>
      <w:rFonts w:asciiTheme="majorHAnsi" w:eastAsiaTheme="majorEastAsia" w:hAnsiTheme="majorHAnsi" w:cstheme="majorBidi"/>
      <w:b w:val="0"/>
      <w:bCs w:val="0"/>
      <w:color w:val="365F91" w:themeColor="accent1" w:themeShade="BF"/>
      <w:sz w:val="32"/>
      <w:szCs w:val="32"/>
    </w:rPr>
  </w:style>
  <w:style w:type="table" w:styleId="GridTable4-Accent3">
    <w:name w:val="Grid Table 4 Accent 3"/>
    <w:basedOn w:val="TableNormal"/>
    <w:uiPriority w:val="49"/>
    <w:rsid w:val="00BE2257"/>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7ksUKcsfk+iYjmkCFb/GCqIoQg==">CgMxLjAaHwoBMBIaChgICVIUChJ0YWJsZS40YWs4b2JiM3lrZHEyCGguZ2pkZ3hzOAByITFCMGJDUHJBUWRwSnJ5ZDNwcnhSSF9ldXR2YW5na3QycQ==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3756</Words>
  <Characters>15252</Characters>
  <Application>Microsoft Office Word</Application>
  <DocSecurity>0</DocSecurity>
  <Lines>412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Asitha Vajirapani</cp:lastModifiedBy>
  <cp:revision>5</cp:revision>
  <dcterms:created xsi:type="dcterms:W3CDTF">2026-09-18T05:15:00Z</dcterms:created>
  <dcterms:modified xsi:type="dcterms:W3CDTF">2026-09-22T05:38:00Z</dcterms:modified>
  <dc:title>ATP and Terms – Sri Lanka template</dc:title>
</cp:coreProperties>
</file>