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 Where this document and the proposal differ, this document applies.</w:t>
      </w:r>
    </w:p>
    <w:p w14:paraId="0C2656AA"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360"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360"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360"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152"/>
        <w:gridCol w:w="1649"/>
        <w:gridCol w:w="1649"/>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360" w:lineRule="auto"/>
              <w:rPr>
                <w:sz w:val="18"/>
                <w:szCs w:val="18"/>
                <w:lang w:val="en-US"/>
              </w:rPr>
            </w:pPr>
            <w:r w:rsidRPr="00BE2257">
              <w:rPr>
                <w:rFonts w:ascii="Aptos" w:hAnsi="Aptos" w:cs="Aptos" w:hint="cs" w:eastAsia="Aptos"/>
                <w:color w:val="FFFFFF"/>
                <w:sz w:val="18"/>
                <w:szCs w:val="18"/>
              </w:rPr>
              <w:t>Milestone</w:t>
            </w:r>
          </w:p>
        </w:tc>
        <w:tc>
          <w:tcPr>
            <w:tcW w:w="4152"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649"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649"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360" w:lineRule="auto"/>
              <w:jc w:val="both"/>
              <w:rPr>
                <w:sz w:val="18"/>
                <w:szCs w:val="18"/>
              </w:rPr>
            </w:pPr>
            <w:r w:rsidRPr="00BE2257">
              <w:rPr>
                <w:rFonts w:ascii="Aptos" w:hAnsi="Aptos" w:cs="Aptos" w:hint="cs" w:eastAsia="Aptos"/>
                <w:color w:val="7F7F7F"/>
                <w:sz w:val="18"/>
                <w:szCs w:val="18"/>
              </w:rPr>
              <w:t>{{#milestones.n}}</w:t>
            </w:r>
          </w:p>
        </w:tc>
        <w:tc>
          <w:tcPr>
            <w:tcW w:w="4152"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360" w:lineRule="auto"/>
              <w:jc w:val="both"/>
              <w:rPr>
                <w:sz w:val="18"/>
                <w:szCs w:val="18"/>
              </w:rPr>
            </w:pPr>
            <w:r w:rsidRPr="00BE2257">
              <w:rPr>
                <w:rFonts w:ascii="Aptos" w:hAnsi="Aptos" w:cs="Aptos" w:hint="cs" w:eastAsia="Aptos"/>
                <w:sz w:val="18"/>
                <w:szCs w:val="18"/>
              </w:rPr>
              <w:t>Total</w:t>
            </w:r>
          </w:p>
        </w:tc>
        <w:tc>
          <w:tcPr>
            <w:tcW w:w="4152"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360"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and nothing is required. Our Essential Care plan is {{support.plan.price}} plus {{tax.name}} a month and covers security and uptime monitoring, bug fixes, platform and dependency updates, a monthly technical check with a 15-minute call, and email support.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and the same 10 business days apply to each round.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10 business days,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