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2E5496"/>
          <w:spacing w:val="40"/>
          <w:sz w:val="20"/>
          <w:szCs w:val="20"/>
        </w:rPr>
        <w:t xml:space="preserve">DESIGN HANDOVER</w:t>
      </w:r>
    </w:p>
    <w:p>
      <w:pPr>
        <w:spacing w:after="60"/>
      </w:pPr>
      <w:r>
        <w:rPr>
          <w:b/>
          <w:bCs/>
          <w:color w:val="1F3864"/>
          <w:sz w:val="44"/>
          <w:szCs w:val="44"/>
        </w:rPr>
        <w:t xml:space="preserve">Data Product Serving Layer</w:t>
      </w:r>
    </w:p>
    <w:p>
      <w:pPr>
        <w:spacing w:after="160"/>
      </w:pPr>
      <w:r>
        <w:rPr>
          <w:i/>
          <w:iCs/>
          <w:color w:val="595959"/>
          <w:sz w:val="22"/>
          <w:szCs w:val="22"/>
        </w:rPr>
        <w:t xml:space="preserve">Certified data products exposed as views over MCP and REST — design assessed against the DARB framework</w:t>
      </w:r>
    </w:p>
    <w:p>
      <w:pPr>
        <w:pBdr>
          <w:bottom w:val="single" w:color="D9E1F2" w:sz="6"/>
        </w:pBdr>
        <w:spacing w:after="140" w:before="60"/>
      </w:pP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120"/>
      </w:tblGrid>
      <w:tr>
        <w:trPr>
          <w:tblHeader/>
        </w:trPr>
        <w:tc>
          <w:tcPr>
            <w:tcW w:type="dxa" w:w="1900"/>
            <w:shd w:fill="2E5496" w:color="auto" w:val="clear"/>
            <w:tcMar>
              <w:top w:type="dxa" w:w="60"/>
              <w:left w:type="dxa" w:w="110"/>
              <w:bottom w:type="dxa" w:w="60"/>
              <w:right w:type="dxa" w:w="110"/>
            </w:tcMar>
          </w:tcPr>
          <w:p>
            <w:pPr>
              <w:spacing w:after="40" w:line="250"/>
            </w:pPr>
            <w:r>
              <w:rPr>
                <w:b/>
                <w:bCs/>
                <w:color w:val="FFFFFF"/>
                <w:sz w:val="19"/>
                <w:szCs w:val="19"/>
              </w:rPr>
              <w:t xml:space="preserve">Field</w:t>
            </w:r>
          </w:p>
        </w:tc>
        <w:tc>
          <w:tcPr>
            <w:tcW w:type="dxa" w:w="7120"/>
            <w:shd w:fill="2E5496" w:color="auto" w:val="clear"/>
            <w:tcMar>
              <w:top w:type="dxa" w:w="60"/>
              <w:left w:type="dxa" w:w="110"/>
              <w:bottom w:type="dxa" w:w="60"/>
              <w:right w:type="dxa" w:w="110"/>
            </w:tcMar>
          </w:tcPr>
          <w:p>
            <w:pPr>
              <w:spacing w:after="40" w:line="250"/>
            </w:pPr>
            <w:r>
              <w:rPr>
                <w:b/>
                <w:bCs/>
                <w:color w:val="FFFFFF"/>
                <w:sz w:val="19"/>
                <w:szCs w:val="19"/>
              </w:rPr>
              <w:t xml:space="preserve">Detail</w:t>
            </w:r>
          </w:p>
        </w:tc>
      </w:tr>
      <w:tr>
        <w:tc>
          <w:tcPr>
            <w:tcW w:type="dxa" w:w="1900"/>
            <w:tcMar>
              <w:top w:type="dxa" w:w="60"/>
              <w:left w:type="dxa" w:w="110"/>
              <w:bottom w:type="dxa" w:w="60"/>
              <w:right w:type="dxa" w:w="110"/>
            </w:tcMar>
          </w:tcPr>
          <w:p>
            <w:pPr>
              <w:spacing w:after="20" w:line="248"/>
            </w:pPr>
            <w:r>
              <w:rPr>
                <w:b/>
                <w:bCs/>
                <w:color w:val="1F3864"/>
                <w:sz w:val="19"/>
                <w:szCs w:val="19"/>
              </w:rPr>
              <w:t xml:space="preserve">Document</w:t>
            </w:r>
          </w:p>
        </w:tc>
        <w:tc>
          <w:tcPr>
            <w:tcW w:type="dxa" w:w="7120"/>
            <w:tcMar>
              <w:top w:type="dxa" w:w="60"/>
              <w:left w:type="dxa" w:w="110"/>
              <w:bottom w:type="dxa" w:w="60"/>
              <w:right w:type="dxa" w:w="110"/>
            </w:tcMar>
          </w:tcPr>
          <w:p>
            <w:pPr>
              <w:spacing w:after="20" w:line="248"/>
            </w:pPr>
            <w:r>
              <w:rPr>
                <w:b w:val="false"/>
                <w:bCs w:val="false"/>
                <w:color w:val="222222"/>
                <w:sz w:val="19"/>
                <w:szCs w:val="19"/>
              </w:rPr>
              <w:t xml:space="preserve">Solution design handover — serving / consumption layer</w:t>
            </w:r>
          </w:p>
        </w:tc>
      </w:tr>
      <w:tr>
        <w:tc>
          <w:tcPr>
            <w:tcW w:type="dxa" w:w="1900"/>
            <w:shd w:fill="F2F5FB" w:color="auto" w:val="clear"/>
            <w:tcMar>
              <w:top w:type="dxa" w:w="60"/>
              <w:left w:type="dxa" w:w="110"/>
              <w:bottom w:type="dxa" w:w="60"/>
              <w:right w:type="dxa" w:w="110"/>
            </w:tcMar>
          </w:tcPr>
          <w:p>
            <w:pPr>
              <w:spacing w:after="20" w:line="248"/>
            </w:pPr>
            <w:r>
              <w:rPr>
                <w:b/>
                <w:bCs/>
                <w:color w:val="1F3864"/>
                <w:sz w:val="19"/>
                <w:szCs w:val="19"/>
              </w:rPr>
              <w:t xml:space="preserve">Scope</w:t>
            </w:r>
          </w:p>
        </w:tc>
        <w:tc>
          <w:tcPr>
            <w:tcW w:type="dxa" w:w="71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Expose re-engineered data products as a governed, view-based layer, consumable via MCP tools and REST APIs by any future consumer</w:t>
            </w:r>
          </w:p>
        </w:tc>
      </w:tr>
      <w:tr>
        <w:tc>
          <w:tcPr>
            <w:tcW w:type="dxa" w:w="1900"/>
            <w:tcMar>
              <w:top w:type="dxa" w:w="60"/>
              <w:left w:type="dxa" w:w="110"/>
              <w:bottom w:type="dxa" w:w="60"/>
              <w:right w:type="dxa" w:w="110"/>
            </w:tcMar>
          </w:tcPr>
          <w:p>
            <w:pPr>
              <w:spacing w:after="20" w:line="248"/>
            </w:pPr>
            <w:r>
              <w:rPr>
                <w:b/>
                <w:bCs/>
                <w:color w:val="1F3864"/>
                <w:sz w:val="19"/>
                <w:szCs w:val="19"/>
              </w:rPr>
              <w:t xml:space="preserve">Assessed against</w:t>
            </w:r>
          </w:p>
        </w:tc>
        <w:tc>
          <w:tcPr>
            <w:tcW w:type="dxa" w:w="7120"/>
            <w:tcMar>
              <w:top w:type="dxa" w:w="60"/>
              <w:left w:type="dxa" w:w="110"/>
              <w:bottom w:type="dxa" w:w="60"/>
              <w:right w:type="dxa" w:w="110"/>
            </w:tcMar>
          </w:tcPr>
          <w:p>
            <w:pPr>
              <w:spacing w:after="20" w:line="248"/>
            </w:pPr>
            <w:r>
              <w:rPr>
                <w:b w:val="false"/>
                <w:bCs w:val="false"/>
                <w:color w:val="222222"/>
                <w:sz w:val="19"/>
                <w:szCs w:val="19"/>
              </w:rPr>
              <w:t xml:space="preserve">Design Authority Review Board (DARB) design-pattern framework</w:t>
            </w:r>
          </w:p>
        </w:tc>
      </w:tr>
      <w:tr>
        <w:tc>
          <w:tcPr>
            <w:tcW w:type="dxa" w:w="1900"/>
            <w:shd w:fill="F2F5FB" w:color="auto" w:val="clear"/>
            <w:tcMar>
              <w:top w:type="dxa" w:w="60"/>
              <w:left w:type="dxa" w:w="110"/>
              <w:bottom w:type="dxa" w:w="60"/>
              <w:right w:type="dxa" w:w="110"/>
            </w:tcMar>
          </w:tcPr>
          <w:p>
            <w:pPr>
              <w:spacing w:after="20" w:line="248"/>
            </w:pPr>
            <w:r>
              <w:rPr>
                <w:b/>
                <w:bCs/>
                <w:color w:val="1F3864"/>
                <w:sz w:val="19"/>
                <w:szCs w:val="19"/>
              </w:rPr>
              <w:t xml:space="preserve">Applicable patterns</w:t>
            </w:r>
          </w:p>
        </w:tc>
        <w:tc>
          <w:tcPr>
            <w:tcW w:type="dxa" w:w="71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MCP / Tool integration (primary); RAG (unstructured only); Router (orchestration, adjacent). Text-to-SQL / NL2X deliberately excluded</w:t>
            </w:r>
          </w:p>
        </w:tc>
      </w:tr>
      <w:tr>
        <w:tc>
          <w:tcPr>
            <w:tcW w:type="dxa" w:w="1900"/>
            <w:tcMar>
              <w:top w:type="dxa" w:w="60"/>
              <w:left w:type="dxa" w:w="110"/>
              <w:bottom w:type="dxa" w:w="60"/>
              <w:right w:type="dxa" w:w="110"/>
            </w:tcMar>
          </w:tcPr>
          <w:p>
            <w:pPr>
              <w:spacing w:after="20" w:line="248"/>
            </w:pPr>
            <w:r>
              <w:rPr>
                <w:b/>
                <w:bCs/>
                <w:color w:val="1F3864"/>
                <w:sz w:val="19"/>
                <w:szCs w:val="19"/>
              </w:rPr>
              <w:t xml:space="preserve">Status</w:t>
            </w:r>
          </w:p>
        </w:tc>
        <w:tc>
          <w:tcPr>
            <w:tcW w:type="dxa" w:w="7120"/>
            <w:tcMar>
              <w:top w:type="dxa" w:w="60"/>
              <w:left w:type="dxa" w:w="110"/>
              <w:bottom w:type="dxa" w:w="60"/>
              <w:right w:type="dxa" w:w="110"/>
            </w:tcMar>
          </w:tcPr>
          <w:p>
            <w:pPr>
              <w:spacing w:after="20" w:line="248"/>
            </w:pPr>
            <w:r>
              <w:rPr>
                <w:b w:val="false"/>
                <w:bCs w:val="false"/>
                <w:color w:val="222222"/>
                <w:sz w:val="19"/>
                <w:szCs w:val="19"/>
              </w:rPr>
              <w:t xml:space="preserve">Draft for Design Authority review</w:t>
            </w:r>
          </w:p>
        </w:tc>
      </w:tr>
    </w:tbl>
    <w:p>
      <w:pPr>
        <w:spacing w:after="0" w:before="120"/>
      </w:pPr>
      <w:r>
        <w:rPr>
          <w:i/>
          <w:iCs/>
          <w:color w:val="595959"/>
          <w:sz w:val="18"/>
          <w:szCs w:val="18"/>
        </w:rPr>
        <w:t xml:space="preserve">Note: this handover both describes the target design and answers the DARB design-review questions for each applicable pattern. Board questions appear in the left column of each assessment table; our design positions on the right. Unresolved items are collected in “Open design decisions”.</w:t>
      </w:r>
    </w:p>
    <w:p>
      <w:r>
        <w:br w:type="page"/>
      </w:r>
    </w:p>
    <w:p>
      <w:pPr>
        <w:pStyle w:val="Heading1"/>
        <w:spacing w:after="140" w:before="320"/>
      </w:pPr>
      <w:r>
        <w:rPr>
          <w:b/>
          <w:bCs/>
          <w:color w:val="1F3864"/>
          <w:sz w:val="30"/>
          <w:szCs w:val="30"/>
        </w:rPr>
        <w:t xml:space="preserve">1.  Purpose and scope</w:t>
      </w:r>
    </w:p>
    <w:p>
      <w:pPr>
        <w:spacing w:after="120" w:line="264"/>
      </w:pPr>
      <w:r>
        <w:rPr>
          <w:color w:val="222222"/>
          <w:sz w:val="21"/>
          <w:szCs w:val="21"/>
        </w:rPr>
        <w:t xml:space="preserve">This layer takes the re-engineered analytical estate and exposes it as a set of certified, business-meaningful data products that any consumer — application, notebook, BI tool, or AI agent — can pull through a single governed interface. It is the serving layer: the consumption face of the wider re-engineering programme, not the migration itself.</w:t>
      </w:r>
    </w:p>
    <w:p>
      <w:pPr>
        <w:pStyle w:val="Heading3"/>
        <w:spacing w:after="80" w:before="180"/>
      </w:pPr>
      <w:r>
        <w:rPr>
          <w:b/>
          <w:bCs/>
          <w:color w:val="2E5496"/>
          <w:sz w:val="22"/>
          <w:szCs w:val="22"/>
        </w:rPr>
        <w:t xml:space="preserve">In scope</w:t>
      </w:r>
    </w:p>
    <w:p>
      <w:pPr>
        <w:pStyle w:val="ListParagraph"/>
        <w:numPr>
          <w:ilvl w:val="0"/>
          <w:numId w:val="2"/>
        </w:numPr>
        <w:spacing w:after="70" w:line="258"/>
      </w:pPr>
      <w:r>
        <w:rPr>
          <w:color w:val="222222"/>
          <w:sz w:val="21"/>
          <w:szCs w:val="21"/>
        </w:rPr>
        <w:t xml:space="preserve">Defining the data products worth exposing and their contracts (the core design work).</w:t>
      </w:r>
    </w:p>
    <w:p>
      <w:pPr>
        <w:pStyle w:val="ListParagraph"/>
        <w:numPr>
          <w:ilvl w:val="0"/>
          <w:numId w:val="2"/>
        </w:numPr>
        <w:spacing w:after="70" w:line="258"/>
      </w:pPr>
      <w:r>
        <w:rPr>
          <w:color w:val="222222"/>
          <w:sz w:val="21"/>
          <w:szCs w:val="21"/>
        </w:rPr>
        <w:t xml:space="preserve">A view-based product layer over the star schema — virtualised by default, materialised only on hot paths.</w:t>
      </w:r>
    </w:p>
    <w:p>
      <w:pPr>
        <w:pStyle w:val="ListParagraph"/>
        <w:numPr>
          <w:ilvl w:val="0"/>
          <w:numId w:val="2"/>
        </w:numPr>
        <w:spacing w:after="70" w:line="258"/>
      </w:pPr>
      <w:r>
        <w:rPr>
          <w:color w:val="222222"/>
          <w:sz w:val="21"/>
          <w:szCs w:val="21"/>
        </w:rPr>
        <w:t xml:space="preserve">One access service exposing each product through parameterised, reviewed access patterns.</w:t>
      </w:r>
    </w:p>
    <w:p>
      <w:pPr>
        <w:pStyle w:val="ListParagraph"/>
        <w:numPr>
          <w:ilvl w:val="0"/>
          <w:numId w:val="2"/>
        </w:numPr>
        <w:spacing w:after="70" w:line="258"/>
      </w:pPr>
      <w:r>
        <w:rPr>
          <w:color w:val="222222"/>
          <w:sz w:val="21"/>
          <w:szCs w:val="21"/>
        </w:rPr>
        <w:t xml:space="preserve">Two thin protocol adapters over that service — MCP (for AI/agent consumers) and REST (for apps and services).</w:t>
      </w:r>
    </w:p>
    <w:p>
      <w:pPr>
        <w:pStyle w:val="ListParagraph"/>
        <w:numPr>
          <w:ilvl w:val="0"/>
          <w:numId w:val="2"/>
        </w:numPr>
        <w:spacing w:after="70" w:line="258"/>
      </w:pPr>
      <w:r>
        <w:rPr>
          <w:color w:val="222222"/>
          <w:sz w:val="21"/>
          <w:szCs w:val="21"/>
        </w:rPr>
        <w:t xml:space="preserve">Entitlement enforcement at the serving layer, on every pull.</w:t>
      </w:r>
    </w:p>
    <w:p>
      <w:pPr>
        <w:pStyle w:val="ListParagraph"/>
        <w:numPr>
          <w:ilvl w:val="0"/>
          <w:numId w:val="2"/>
        </w:numPr>
        <w:spacing w:after="70" w:line="258"/>
      </w:pPr>
      <w:r>
        <w:rPr>
          <w:color w:val="222222"/>
          <w:sz w:val="21"/>
          <w:szCs w:val="21"/>
        </w:rPr>
        <w:t xml:space="preserve">A product registry / catalog so consumers discover and self-serve.</w:t>
      </w:r>
    </w:p>
    <w:p>
      <w:pPr>
        <w:pStyle w:val="Heading3"/>
        <w:spacing w:after="80" w:before="180"/>
      </w:pPr>
      <w:r>
        <w:rPr>
          <w:b/>
          <w:bCs/>
          <w:color w:val="2E5496"/>
          <w:sz w:val="22"/>
          <w:szCs w:val="22"/>
        </w:rPr>
        <w:t xml:space="preserve">Out of scope</w:t>
      </w:r>
    </w:p>
    <w:p>
      <w:pPr>
        <w:pStyle w:val="ListParagraph"/>
        <w:numPr>
          <w:ilvl w:val="0"/>
          <w:numId w:val="2"/>
        </w:numPr>
        <w:spacing w:after="70" w:line="258"/>
      </w:pPr>
      <w:r>
        <w:rPr>
          <w:color w:val="222222"/>
          <w:sz w:val="21"/>
          <w:szCs w:val="21"/>
        </w:rPr>
        <w:t xml:space="preserve">Agents, chatbots, and agent orchestration — those are consumers of this layer, built elsewhere.</w:t>
      </w:r>
    </w:p>
    <w:p>
      <w:pPr>
        <w:pStyle w:val="ListParagraph"/>
        <w:numPr>
          <w:ilvl w:val="0"/>
          <w:numId w:val="2"/>
        </w:numPr>
        <w:spacing w:after="70" w:line="258"/>
      </w:pPr>
      <w:r>
        <w:rPr>
          <w:color w:val="222222"/>
          <w:sz w:val="21"/>
          <w:szCs w:val="21"/>
        </w:rPr>
        <w:t xml:space="preserve">Any AI-authored SQL or natural-language-to-query capability (see §5, deliberate exclusion).</w:t>
      </w:r>
    </w:p>
    <w:p>
      <w:pPr>
        <w:pStyle w:val="ListParagraph"/>
        <w:numPr>
          <w:ilvl w:val="0"/>
          <w:numId w:val="2"/>
        </w:numPr>
        <w:spacing w:after="70" w:line="258"/>
      </w:pPr>
      <w:r>
        <w:rPr>
          <w:color w:val="222222"/>
          <w:sz w:val="21"/>
          <w:szCs w:val="21"/>
        </w:rPr>
        <w:t xml:space="preserve">The migration / lineage discovery itself — covered by the Approach &amp; Technical Design documents; this layer consumes its output.</w:t>
      </w:r>
    </w:p>
    <w:p>
      <w:pPr>
        <w:pStyle w:val="Heading1"/>
        <w:spacing w:after="140" w:before="320"/>
      </w:pPr>
      <w:r>
        <w:rPr>
          <w:b/>
          <w:bCs/>
          <w:color w:val="1F3864"/>
          <w:sz w:val="30"/>
          <w:szCs w:val="30"/>
        </w:rPr>
        <w:t xml:space="preserve">2.  What this design is really about</w:t>
      </w:r>
    </w:p>
    <w:p>
      <w:pPr>
        <w:spacing w:after="120" w:line="264"/>
      </w:pPr>
      <w:r>
        <w:rPr>
          <w:b w:val="false"/>
          <w:bCs w:val="false"/>
          <w:i w:val="false"/>
          <w:iCs w:val="false"/>
          <w:color w:val="222222"/>
          <w:sz w:val="21"/>
          <w:szCs w:val="21"/>
        </w:rPr>
        <w:t xml:space="preserve">Access and protocols are plumbing. </w:t>
      </w:r>
      <w:r>
        <w:rPr>
          <w:b/>
          <w:bCs/>
          <w:i w:val="false"/>
          <w:iCs w:val="false"/>
          <w:color w:val="222222"/>
          <w:sz w:val="21"/>
          <w:szCs w:val="21"/>
        </w:rPr>
        <w:t xml:space="preserve">The core of this design is the data products themselves</w:t>
      </w:r>
      <w:r>
        <w:rPr>
          <w:b w:val="false"/>
          <w:bCs w:val="false"/>
          <w:i w:val="false"/>
          <w:iCs w:val="false"/>
          <w:color w:val="222222"/>
          <w:sz w:val="21"/>
          <w:szCs w:val="21"/>
        </w:rPr>
        <w:t xml:space="preserve"> — which ones exist, and the contract behind each. If the products are well-defined, everything downstream (views, adapters, catalog, entitlements) is standard engineering. If they are not, no amount of access design saves it.</w:t>
      </w:r>
    </w:p>
    <w:p>
      <w:pPr>
        <w:spacing w:after="120" w:line="264"/>
      </w:pPr>
      <w:r>
        <w:rPr>
          <w:b w:val="false"/>
          <w:bCs w:val="false"/>
          <w:i w:val="false"/>
          <w:iCs w:val="false"/>
          <w:color w:val="222222"/>
          <w:sz w:val="21"/>
          <w:szCs w:val="21"/>
        </w:rPr>
        <w:t xml:space="preserve">The ranking that follows from that: </w:t>
      </w:r>
      <w:r>
        <w:rPr>
          <w:b/>
          <w:bCs/>
          <w:i w:val="false"/>
          <w:iCs w:val="false"/>
          <w:color w:val="222222"/>
          <w:sz w:val="21"/>
          <w:szCs w:val="21"/>
        </w:rPr>
        <w:t xml:space="preserve">core</w:t>
      </w:r>
      <w:r>
        <w:rPr>
          <w:b w:val="false"/>
          <w:bCs w:val="false"/>
          <w:i w:val="false"/>
          <w:iCs w:val="false"/>
          <w:color w:val="222222"/>
          <w:sz w:val="21"/>
          <w:szCs w:val="21"/>
        </w:rPr>
        <w:t xml:space="preserve"> — what a data product is and which ones exist (the intellectual work); </w:t>
      </w:r>
      <w:r>
        <w:rPr>
          <w:b/>
          <w:bCs/>
          <w:i w:val="false"/>
          <w:iCs w:val="false"/>
          <w:color w:val="222222"/>
          <w:sz w:val="21"/>
          <w:szCs w:val="21"/>
        </w:rPr>
        <w:t xml:space="preserve">build</w:t>
      </w:r>
      <w:r>
        <w:rPr>
          <w:b w:val="false"/>
          <w:bCs w:val="false"/>
          <w:i w:val="false"/>
          <w:iCs w:val="false"/>
          <w:color w:val="222222"/>
          <w:sz w:val="21"/>
          <w:szCs w:val="21"/>
        </w:rPr>
        <w:t xml:space="preserve"> — views, access service, dual adapters, catalog (mechanical once products are defined); </w:t>
      </w:r>
      <w:r>
        <w:rPr>
          <w:b/>
          <w:bCs/>
          <w:i w:val="false"/>
          <w:iCs w:val="false"/>
          <w:color w:val="222222"/>
          <w:sz w:val="21"/>
          <w:szCs w:val="21"/>
        </w:rPr>
        <w:t xml:space="preserve">cross-cutting</w:t>
      </w:r>
      <w:r>
        <w:rPr>
          <w:b w:val="false"/>
          <w:bCs w:val="false"/>
          <w:i w:val="false"/>
          <w:iCs w:val="false"/>
          <w:color w:val="222222"/>
          <w:sz w:val="21"/>
          <w:szCs w:val="21"/>
        </w:rPr>
        <w:t xml:space="preserve"> — entitlements, lineage, versioning, observability, applied across the layer rather than as its organising principle.</w:t>
      </w:r>
    </w:p>
    <w:p>
      <w:pPr>
        <w:spacing w:after="120" w:line="264"/>
      </w:pPr>
      <w:r>
        <w:rPr>
          <w:b/>
          <w:bCs/>
          <w:i w:val="false"/>
          <w:iCs w:val="false"/>
          <w:color w:val="222222"/>
          <w:sz w:val="21"/>
          <w:szCs w:val="21"/>
        </w:rPr>
        <w:t xml:space="preserve">One artifact, two uses: </w:t>
      </w:r>
      <w:r>
        <w:rPr>
          <w:b w:val="false"/>
          <w:bCs w:val="false"/>
          <w:i w:val="false"/>
          <w:iCs w:val="false"/>
          <w:color w:val="222222"/>
          <w:sz w:val="21"/>
          <w:szCs w:val="21"/>
        </w:rPr>
        <w:t xml:space="preserve">the data product defined here is the same artifact as the target model in the migration work. Facts and dimensions are how data is stored; data products are how it is exposed.</w:t>
      </w:r>
    </w:p>
    <w:p>
      <w:pPr>
        <w:pStyle w:val="Heading1"/>
        <w:spacing w:after="140" w:before="320"/>
      </w:pPr>
      <w:r>
        <w:rPr>
          <w:b/>
          <w:bCs/>
          <w:color w:val="1F3864"/>
          <w:sz w:val="30"/>
          <w:szCs w:val="30"/>
        </w:rPr>
        <w:t xml:space="preserve">3.  Solution architecture</w:t>
      </w:r>
    </w:p>
    <w:p>
      <w:pPr>
        <w:spacing w:after="120" w:line="264"/>
      </w:pPr>
      <w:r>
        <w:rPr>
          <w:color w:val="222222"/>
          <w:sz w:val="21"/>
          <w:szCs w:val="21"/>
        </w:rPr>
        <w:t xml:space="preserve">The layer turns the physical star schema into certified products and exposes them through one service behind two protocol faces:</w:t>
      </w:r>
    </w:p>
    <w:p>
      <w:pPr>
        <w:pBdr>
          <w:top w:val="single" w:color="2E5496" w:sz="4"/>
          <w:bottom w:val="single" w:color="2E5496" w:sz="4"/>
          <w:left w:val="single" w:color="2E5496" w:sz="4"/>
          <w:right w:val="single" w:color="2E5496" w:sz="4"/>
        </w:pBdr>
        <w:shd w:fill="D9E1F2" w:color="auto" w:val="clear"/>
        <w:spacing w:after="60"/>
        <w:jc w:val="center"/>
      </w:pPr>
      <w:r>
        <w:rPr>
          <w:b/>
          <w:bCs/>
          <w:color w:val="1F3864"/>
          <w:sz w:val="20"/>
          <w:szCs w:val="20"/>
        </w:rPr>
        <w:t xml:space="preserve">Star schema / lake</w:t>
      </w:r>
      <w:r>
        <w:rPr>
          <w:color w:val="595959"/>
          <w:sz w:val="18"/>
          <w:szCs w:val="18"/>
        </w:rPr>
        <w:t xml:space="preserve">   —   physical store</w:t>
      </w:r>
    </w:p>
    <w:p>
      <w:pPr>
        <w:spacing w:after="60"/>
        <w:jc w:val="center"/>
      </w:pPr>
      <w:r>
        <w:rPr>
          <w:color w:val="2E5496"/>
          <w:sz w:val="18"/>
          <w:szCs w:val="18"/>
        </w:rPr>
        <w:t xml:space="preserve">▼</w:t>
      </w:r>
    </w:p>
    <w:p>
      <w:pPr>
        <w:pBdr>
          <w:top w:val="single" w:color="2E5496" w:sz="4"/>
          <w:bottom w:val="single" w:color="2E5496" w:sz="4"/>
          <w:left w:val="single" w:color="2E5496" w:sz="4"/>
          <w:right w:val="single" w:color="2E5496" w:sz="4"/>
        </w:pBdr>
        <w:shd w:fill="D9E1F2" w:color="auto" w:val="clear"/>
        <w:spacing w:after="60"/>
        <w:jc w:val="center"/>
      </w:pPr>
      <w:r>
        <w:rPr>
          <w:b/>
          <w:bCs/>
          <w:color w:val="1F3864"/>
          <w:sz w:val="20"/>
          <w:szCs w:val="20"/>
        </w:rPr>
        <w:t xml:space="preserve">View-based product layer</w:t>
      </w:r>
      <w:r>
        <w:rPr>
          <w:color w:val="595959"/>
          <w:sz w:val="18"/>
          <w:szCs w:val="18"/>
        </w:rPr>
        <w:t xml:space="preserve">   —   semantic, certified, business-named</w:t>
      </w:r>
    </w:p>
    <w:p>
      <w:pPr>
        <w:spacing w:after="60"/>
        <w:jc w:val="center"/>
      </w:pPr>
      <w:r>
        <w:rPr>
          <w:color w:val="2E5496"/>
          <w:sz w:val="18"/>
          <w:szCs w:val="18"/>
        </w:rPr>
        <w:t xml:space="preserve">▼</w:t>
      </w:r>
    </w:p>
    <w:p>
      <w:pPr>
        <w:pBdr>
          <w:top w:val="single" w:color="2E5496" w:sz="4"/>
          <w:bottom w:val="single" w:color="2E5496" w:sz="4"/>
          <w:left w:val="single" w:color="2E5496" w:sz="4"/>
          <w:right w:val="single" w:color="2E5496" w:sz="4"/>
        </w:pBdr>
        <w:shd w:fill="D9E1F2" w:color="auto" w:val="clear"/>
        <w:spacing w:after="60"/>
        <w:jc w:val="center"/>
      </w:pPr>
      <w:r>
        <w:rPr>
          <w:b/>
          <w:bCs/>
          <w:color w:val="1F3864"/>
          <w:sz w:val="20"/>
          <w:szCs w:val="20"/>
        </w:rPr>
        <w:t xml:space="preserve">Access service</w:t>
      </w:r>
      <w:r>
        <w:rPr>
          <w:color w:val="595959"/>
          <w:sz w:val="18"/>
          <w:szCs w:val="18"/>
        </w:rPr>
        <w:t xml:space="preserve">   —   parameterised reviewed queries + entitlement enforcement</w:t>
      </w:r>
    </w:p>
    <w:p>
      <w:pPr>
        <w:spacing w:after="60"/>
        <w:jc w:val="center"/>
      </w:pPr>
      <w:r>
        <w:rPr>
          <w:color w:val="2E5496"/>
          <w:sz w:val="18"/>
          <w:szCs w:val="18"/>
        </w:rPr>
        <w:t xml:space="preserve">▼</w:t>
      </w:r>
    </w:p>
    <w:p>
      <w:pPr>
        <w:pBdr>
          <w:top w:val="single" w:color="2E5496" w:sz="4"/>
          <w:bottom w:val="single" w:color="2E5496" w:sz="4"/>
          <w:left w:val="single" w:color="2E5496" w:sz="4"/>
          <w:right w:val="single" w:color="2E5496" w:sz="4"/>
        </w:pBdr>
        <w:shd w:fill="D9E1F2" w:color="auto" w:val="clear"/>
        <w:spacing w:after="60"/>
        <w:jc w:val="center"/>
      </w:pPr>
      <w:r>
        <w:rPr>
          <w:b/>
          <w:bCs/>
          <w:color w:val="1F3864"/>
          <w:sz w:val="20"/>
          <w:szCs w:val="20"/>
        </w:rPr>
        <w:t xml:space="preserve">MCP adapter   +   REST adapter</w:t>
      </w:r>
      <w:r>
        <w:rPr>
          <w:color w:val="595959"/>
          <w:sz w:val="18"/>
          <w:szCs w:val="18"/>
        </w:rPr>
        <w:t xml:space="preserve">   —   two thin faces on one service</w:t>
      </w:r>
    </w:p>
    <w:p>
      <w:pPr>
        <w:spacing w:after="60"/>
        <w:jc w:val="center"/>
      </w:pPr>
      <w:r>
        <w:rPr>
          <w:color w:val="2E5496"/>
          <w:sz w:val="18"/>
          <w:szCs w:val="18"/>
        </w:rPr>
        <w:t xml:space="preserve">▼</w:t>
      </w:r>
    </w:p>
    <w:p>
      <w:pPr>
        <w:pBdr>
          <w:top w:val="single" w:color="2E5496" w:sz="4"/>
          <w:bottom w:val="single" w:color="2E5496" w:sz="4"/>
          <w:left w:val="single" w:color="2E5496" w:sz="4"/>
          <w:right w:val="single" w:color="2E5496" w:sz="4"/>
        </w:pBdr>
        <w:shd w:fill="D9E1F2" w:color="auto" w:val="clear"/>
        <w:spacing w:after="60"/>
        <w:jc w:val="center"/>
      </w:pPr>
      <w:r>
        <w:rPr>
          <w:b/>
          <w:bCs/>
          <w:color w:val="1F3864"/>
          <w:sz w:val="20"/>
          <w:szCs w:val="20"/>
        </w:rPr>
        <w:t xml:space="preserve">Any consumer</w:t>
      </w:r>
      <w:r>
        <w:rPr>
          <w:color w:val="595959"/>
          <w:sz w:val="18"/>
          <w:szCs w:val="18"/>
        </w:rPr>
        <w:t xml:space="preserve">   —   agent · app · notebook · BI</w:t>
      </w:r>
    </w:p>
    <w:p>
      <w:pPr>
        <w:spacing w:after="120" w:before="40"/>
        <w:jc w:val="center"/>
      </w:pPr>
      <w:r>
        <w:rPr>
          <w:i/>
          <w:iCs/>
          <w:color w:val="595959"/>
          <w:sz w:val="18"/>
          <w:szCs w:val="18"/>
        </w:rPr>
        <w:t xml:space="preserve">Discovery across the layer: a product registry / catalog (“MCP of MCPs”) indexes every server, tool and contract.</w:t>
      </w:r>
    </w:p>
    <w:p>
      <w:pPr>
        <w:pStyle w:val="Heading3"/>
        <w:spacing w:after="80" w:before="180"/>
      </w:pPr>
      <w:r>
        <w:rPr>
          <w:b/>
          <w:bCs/>
          <w:color w:val="2E5496"/>
          <w:sz w:val="22"/>
          <w:szCs w:val="22"/>
        </w:rPr>
        <w:t xml:space="preserve">The building blocks</w:t>
      </w:r>
    </w:p>
    <w:p>
      <w:pPr>
        <w:pStyle w:val="ListParagraph"/>
        <w:numPr>
          <w:ilvl w:val="0"/>
          <w:numId w:val="2"/>
        </w:numPr>
        <w:spacing w:after="70" w:line="258"/>
      </w:pPr>
      <w:r>
        <w:rPr>
          <w:b/>
          <w:bCs/>
          <w:i w:val="false"/>
          <w:iCs w:val="false"/>
          <w:color w:val="222222"/>
          <w:sz w:val="21"/>
          <w:szCs w:val="21"/>
        </w:rPr>
        <w:t xml:space="preserve">Product layer — views, not copies. </w:t>
      </w:r>
      <w:r>
        <w:rPr>
          <w:b w:val="false"/>
          <w:bCs w:val="false"/>
          <w:i w:val="false"/>
          <w:iCs w:val="false"/>
          <w:color w:val="222222"/>
          <w:sz w:val="21"/>
          <w:szCs w:val="21"/>
        </w:rPr>
        <w:t xml:space="preserve">Each product is a view (or set of views) over the star schema: pre-joined, conformed, business-named, one certified definition. Virtualise by default (always fresh, no reconciliation debt); materialise only where latency demands it. The view is the contract surface.</w:t>
      </w:r>
    </w:p>
    <w:p>
      <w:pPr>
        <w:pStyle w:val="ListParagraph"/>
        <w:numPr>
          <w:ilvl w:val="0"/>
          <w:numId w:val="2"/>
        </w:numPr>
        <w:spacing w:after="70" w:line="258"/>
      </w:pPr>
      <w:r>
        <w:rPr>
          <w:b/>
          <w:bCs/>
          <w:i w:val="false"/>
          <w:iCs w:val="false"/>
          <w:color w:val="222222"/>
          <w:sz w:val="21"/>
          <w:szCs w:val="21"/>
        </w:rPr>
        <w:t xml:space="preserve">One access service, two adapters. </w:t>
      </w:r>
      <w:r>
        <w:rPr>
          <w:b w:val="false"/>
          <w:bCs w:val="false"/>
          <w:i w:val="false"/>
          <w:iCs w:val="false"/>
          <w:color w:val="222222"/>
          <w:sz w:val="21"/>
          <w:szCs w:val="21"/>
        </w:rPr>
        <w:t xml:space="preserve">Underneath sit parameterised access patterns per product (point / filter-list / aggregate / time-series) — fixed, reviewed queries, no free SQL. MCP tools and REST endpoints are two faces of the same query layer, same entitlement check — not two codebases.</w:t>
      </w:r>
    </w:p>
    <w:p>
      <w:pPr>
        <w:pStyle w:val="ListParagraph"/>
        <w:numPr>
          <w:ilvl w:val="0"/>
          <w:numId w:val="2"/>
        </w:numPr>
        <w:spacing w:after="70" w:line="258"/>
      </w:pPr>
      <w:r>
        <w:rPr>
          <w:b/>
          <w:bCs/>
          <w:i w:val="false"/>
          <w:iCs w:val="false"/>
          <w:color w:val="222222"/>
          <w:sz w:val="21"/>
          <w:szCs w:val="21"/>
        </w:rPr>
        <w:t xml:space="preserve">Product contract. </w:t>
      </w:r>
      <w:r>
        <w:rPr>
          <w:b w:val="false"/>
          <w:bCs w:val="false"/>
          <w:i w:val="false"/>
          <w:iCs w:val="false"/>
          <w:color w:val="222222"/>
          <w:sz w:val="21"/>
          <w:szCs w:val="21"/>
        </w:rPr>
        <w:t xml:space="preserve">Every product publishes schema + types, grain, business definition, freshness / SLA, lineage, owner, entitlement model, and version — what lets an unknown future consumer trust and use it without asking the team.</w:t>
      </w:r>
    </w:p>
    <w:p>
      <w:pPr>
        <w:pStyle w:val="ListParagraph"/>
        <w:numPr>
          <w:ilvl w:val="0"/>
          <w:numId w:val="2"/>
        </w:numPr>
        <w:spacing w:after="70" w:line="258"/>
      </w:pPr>
      <w:r>
        <w:rPr>
          <w:b/>
          <w:bCs/>
          <w:i w:val="false"/>
          <w:iCs w:val="false"/>
          <w:color w:val="222222"/>
          <w:sz w:val="21"/>
          <w:szCs w:val="21"/>
        </w:rPr>
        <w:t xml:space="preserve">One server per domain. </w:t>
      </w:r>
      <w:r>
        <w:rPr>
          <w:b w:val="false"/>
          <w:bCs w:val="false"/>
          <w:i w:val="false"/>
          <w:iCs w:val="false"/>
          <w:color w:val="222222"/>
          <w:sz w:val="21"/>
          <w:szCs w:val="21"/>
        </w:rPr>
        <w:t xml:space="preserve">e.g. a Credit Risk MCP server exposes all that domain’s product tools, deployed as a standard internal microservice behind the bank gateway. Not one microservice per tool.</w:t>
      </w:r>
    </w:p>
    <w:p>
      <w:pPr>
        <w:pStyle w:val="ListParagraph"/>
        <w:numPr>
          <w:ilvl w:val="0"/>
          <w:numId w:val="2"/>
        </w:numPr>
        <w:spacing w:after="70" w:line="258"/>
      </w:pPr>
      <w:r>
        <w:rPr>
          <w:b/>
          <w:bCs/>
          <w:i w:val="false"/>
          <w:iCs w:val="false"/>
          <w:color w:val="222222"/>
          <w:sz w:val="21"/>
          <w:szCs w:val="21"/>
        </w:rPr>
        <w:t xml:space="preserve">Registry / catalog. </w:t>
      </w:r>
      <w:r>
        <w:rPr>
          <w:b w:val="false"/>
          <w:bCs w:val="false"/>
          <w:i w:val="false"/>
          <w:iCs w:val="false"/>
          <w:color w:val="222222"/>
          <w:sz w:val="21"/>
          <w:szCs w:val="21"/>
        </w:rPr>
        <w:t xml:space="preserve">A discoverable index of products, contracts and how to call them (MCP tool spec + OpenAPI). This is the “available to anyone” part.</w:t>
      </w:r>
    </w:p>
    <w:p>
      <w:pPr>
        <w:pStyle w:val="Heading1"/>
        <w:spacing w:after="140" w:before="320"/>
      </w:pPr>
      <w:r>
        <w:rPr>
          <w:b/>
          <w:bCs/>
          <w:color w:val="1F3864"/>
          <w:sz w:val="30"/>
          <w:szCs w:val="30"/>
        </w:rPr>
        <w:t xml:space="preserve">4.  What a data product is (worked example)</w:t>
      </w:r>
    </w:p>
    <w:p>
      <w:pPr>
        <w:spacing w:after="120" w:line="264"/>
      </w:pPr>
      <w:r>
        <w:rPr>
          <w:b w:val="false"/>
          <w:bCs w:val="false"/>
          <w:i w:val="false"/>
          <w:iCs w:val="false"/>
          <w:color w:val="222222"/>
          <w:sz w:val="21"/>
          <w:szCs w:val="21"/>
        </w:rPr>
        <w:t xml:space="preserve">A data product is </w:t>
      </w:r>
      <w:r>
        <w:rPr>
          <w:b w:val="false"/>
          <w:bCs w:val="false"/>
          <w:i/>
          <w:iCs/>
          <w:color w:val="222222"/>
          <w:sz w:val="21"/>
          <w:szCs w:val="21"/>
        </w:rPr>
        <w:t xml:space="preserve">not</w:t>
      </w:r>
      <w:r>
        <w:rPr>
          <w:b w:val="false"/>
          <w:bCs w:val="false"/>
          <w:i w:val="false"/>
          <w:iCs w:val="false"/>
          <w:color w:val="222222"/>
          <w:sz w:val="21"/>
          <w:szCs w:val="21"/>
        </w:rPr>
        <w:t xml:space="preserve"> a table. It is a certified, business-meaningful unit built over the facts and dimensions, with a contract around it. A fact answers “what’s in the table”; a data product answers </w:t>
      </w:r>
      <w:r>
        <w:rPr>
          <w:b/>
          <w:bCs/>
          <w:i w:val="false"/>
          <w:iCs w:val="false"/>
          <w:color w:val="222222"/>
          <w:sz w:val="21"/>
          <w:szCs w:val="21"/>
        </w:rPr>
        <w:t xml:space="preserve">“what the business asks”</w:t>
      </w:r>
      <w:r>
        <w:rPr>
          <w:b w:val="false"/>
          <w:bCs w:val="false"/>
          <w:i w:val="false"/>
          <w:iCs w:val="false"/>
          <w:color w:val="222222"/>
          <w:sz w:val="21"/>
          <w:szCs w:val="21"/>
        </w:rPr>
        <w:t xml:space="preserve"> — with a name a business user recognises, a guaranteed definition, and a contract behind it.</w:t>
      </w:r>
    </w:p>
    <w:p>
      <w:pPr>
        <w:pStyle w:val="Heading3"/>
        <w:spacing w:after="80" w:before="180"/>
      </w:pPr>
      <w:r>
        <w:rPr>
          <w:b/>
          <w:bCs/>
          <w:color w:val="2E5496"/>
          <w:sz w:val="22"/>
          <w:szCs w:val="22"/>
        </w:rPr>
        <w:t xml:space="preserve">Example — “Counterparty Credit Exposure”</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520"/>
      </w:tblGrid>
      <w:tr>
        <w:trPr>
          <w:tblHeader/>
        </w:trPr>
        <w:tc>
          <w:tcPr>
            <w:tcW w:type="dxa" w:w="2500"/>
            <w:shd w:fill="2E5496" w:color="auto" w:val="clear"/>
            <w:tcMar>
              <w:top w:type="dxa" w:w="60"/>
              <w:left w:type="dxa" w:w="110"/>
              <w:bottom w:type="dxa" w:w="60"/>
              <w:right w:type="dxa" w:w="110"/>
            </w:tcMar>
          </w:tcPr>
          <w:p>
            <w:pPr>
              <w:spacing w:after="40" w:line="250"/>
            </w:pPr>
            <w:r>
              <w:rPr>
                <w:b/>
                <w:bCs/>
                <w:color w:val="FFFFFF"/>
                <w:sz w:val="19"/>
                <w:szCs w:val="19"/>
              </w:rPr>
              <w:t xml:space="preserve">Element</w:t>
            </w:r>
          </w:p>
        </w:tc>
        <w:tc>
          <w:tcPr>
            <w:tcW w:type="dxa" w:w="6520"/>
            <w:shd w:fill="2E5496" w:color="auto" w:val="clear"/>
            <w:tcMar>
              <w:top w:type="dxa" w:w="60"/>
              <w:left w:type="dxa" w:w="110"/>
              <w:bottom w:type="dxa" w:w="60"/>
              <w:right w:type="dxa" w:w="110"/>
            </w:tcMar>
          </w:tcPr>
          <w:p>
            <w:pPr>
              <w:spacing w:after="40" w:line="250"/>
            </w:pPr>
            <w:r>
              <w:rPr>
                <w:b/>
                <w:bCs/>
                <w:color w:val="FFFFFF"/>
                <w:sz w:val="19"/>
                <w:szCs w:val="19"/>
              </w:rPr>
              <w:t xml:space="preserve">Definition</w:t>
            </w:r>
          </w:p>
        </w:tc>
      </w:tr>
      <w:tr>
        <w:tc>
          <w:tcPr>
            <w:tcW w:type="dxa" w:w="2500"/>
            <w:tcMar>
              <w:top w:type="dxa" w:w="60"/>
              <w:left w:type="dxa" w:w="110"/>
              <w:bottom w:type="dxa" w:w="60"/>
              <w:right w:type="dxa" w:w="110"/>
            </w:tcMar>
          </w:tcPr>
          <w:p>
            <w:pPr>
              <w:spacing w:after="20" w:line="248"/>
            </w:pPr>
            <w:r>
              <w:rPr>
                <w:b/>
                <w:bCs/>
                <w:color w:val="1F3864"/>
                <w:sz w:val="19"/>
                <w:szCs w:val="19"/>
              </w:rPr>
              <w:t xml:space="preserve">Definition (golden logic)</w:t>
            </w:r>
          </w:p>
        </w:tc>
        <w:tc>
          <w:tcPr>
            <w:tcW w:type="dxa" w:w="6520"/>
            <w:tcMar>
              <w:top w:type="dxa" w:w="60"/>
              <w:left w:type="dxa" w:w="110"/>
              <w:bottom w:type="dxa" w:w="60"/>
              <w:right w:type="dxa" w:w="110"/>
            </w:tcMar>
          </w:tcPr>
          <w:p>
            <w:pPr>
              <w:spacing w:after="20" w:line="248"/>
            </w:pPr>
            <w:r>
              <w:rPr>
                <w:b w:val="false"/>
                <w:bCs w:val="false"/>
                <w:color w:val="222222"/>
                <w:sz w:val="19"/>
                <w:szCs w:val="19"/>
              </w:rPr>
              <w:t xml:space="preserve">Current exposure = Σ(mark-to-market + add-on − eligible collateral), per counterparty per book, as-of a date. One canonical formula — the de-duplication output of the migration work.</w:t>
            </w:r>
          </w:p>
        </w:tc>
      </w:tr>
      <w:tr>
        <w:tc>
          <w:tcPr>
            <w:tcW w:type="dxa" w:w="2500"/>
            <w:shd w:fill="F2F5FB" w:color="auto" w:val="clear"/>
            <w:tcMar>
              <w:top w:type="dxa" w:w="60"/>
              <w:left w:type="dxa" w:w="110"/>
              <w:bottom w:type="dxa" w:w="60"/>
              <w:right w:type="dxa" w:w="110"/>
            </w:tcMar>
          </w:tcPr>
          <w:p>
            <w:pPr>
              <w:spacing w:after="20" w:line="248"/>
            </w:pPr>
            <w:r>
              <w:rPr>
                <w:b/>
                <w:bCs/>
                <w:color w:val="1F3864"/>
                <w:sz w:val="19"/>
                <w:szCs w:val="19"/>
              </w:rPr>
              <w:t xml:space="preserve">Grain</w:t>
            </w:r>
          </w:p>
        </w:tc>
        <w:tc>
          <w:tcPr>
            <w:tcW w:type="dxa" w:w="65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One row per counterparty × book × as-of-date.</w:t>
            </w:r>
          </w:p>
        </w:tc>
      </w:tr>
      <w:tr>
        <w:tc>
          <w:tcPr>
            <w:tcW w:type="dxa" w:w="2500"/>
            <w:tcMar>
              <w:top w:type="dxa" w:w="60"/>
              <w:left w:type="dxa" w:w="110"/>
              <w:bottom w:type="dxa" w:w="60"/>
              <w:right w:type="dxa" w:w="110"/>
            </w:tcMar>
          </w:tcPr>
          <w:p>
            <w:pPr>
              <w:spacing w:after="20" w:line="248"/>
            </w:pPr>
            <w:r>
              <w:rPr>
                <w:b/>
                <w:bCs/>
                <w:color w:val="1F3864"/>
                <w:sz w:val="19"/>
                <w:szCs w:val="19"/>
              </w:rPr>
              <w:t xml:space="preserve">Dimensions</w:t>
            </w:r>
          </w:p>
        </w:tc>
        <w:tc>
          <w:tcPr>
            <w:tcW w:type="dxa" w:w="6520"/>
            <w:tcMar>
              <w:top w:type="dxa" w:w="60"/>
              <w:left w:type="dxa" w:w="110"/>
              <w:bottom w:type="dxa" w:w="60"/>
              <w:right w:type="dxa" w:w="110"/>
            </w:tcMar>
          </w:tcPr>
          <w:p>
            <w:pPr>
              <w:spacing w:after="20" w:line="248"/>
            </w:pPr>
            <w:r>
              <w:rPr>
                <w:b w:val="false"/>
                <w:bCs w:val="false"/>
                <w:color w:val="222222"/>
                <w:sz w:val="19"/>
                <w:szCs w:val="19"/>
              </w:rPr>
              <w:t xml:space="preserve">Counterparty, date, book, product, legal entity, rating.</w:t>
            </w:r>
          </w:p>
        </w:tc>
      </w:tr>
      <w:tr>
        <w:tc>
          <w:tcPr>
            <w:tcW w:type="dxa" w:w="2500"/>
            <w:shd w:fill="F2F5FB" w:color="auto" w:val="clear"/>
            <w:tcMar>
              <w:top w:type="dxa" w:w="60"/>
              <w:left w:type="dxa" w:w="110"/>
              <w:bottom w:type="dxa" w:w="60"/>
              <w:right w:type="dxa" w:w="110"/>
            </w:tcMar>
          </w:tcPr>
          <w:p>
            <w:pPr>
              <w:spacing w:after="20" w:line="248"/>
            </w:pPr>
            <w:r>
              <w:rPr>
                <w:b/>
                <w:bCs/>
                <w:color w:val="1F3864"/>
                <w:sz w:val="19"/>
                <w:szCs w:val="19"/>
              </w:rPr>
              <w:t xml:space="preserve">Measures</w:t>
            </w:r>
          </w:p>
        </w:tc>
        <w:tc>
          <w:tcPr>
            <w:tcW w:type="dxa" w:w="65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Current exposure, potential future exposure, limit, utilisation %, breach flag.</w:t>
            </w:r>
          </w:p>
        </w:tc>
      </w:tr>
      <w:tr>
        <w:tc>
          <w:tcPr>
            <w:tcW w:type="dxa" w:w="2500"/>
            <w:tcMar>
              <w:top w:type="dxa" w:w="60"/>
              <w:left w:type="dxa" w:w="110"/>
              <w:bottom w:type="dxa" w:w="60"/>
              <w:right w:type="dxa" w:w="110"/>
            </w:tcMar>
          </w:tcPr>
          <w:p>
            <w:pPr>
              <w:spacing w:after="20" w:line="248"/>
            </w:pPr>
            <w:r>
              <w:rPr>
                <w:b/>
                <w:bCs/>
                <w:color w:val="1F3864"/>
                <w:sz w:val="19"/>
                <w:szCs w:val="19"/>
              </w:rPr>
              <w:t xml:space="preserve">Lineage</w:t>
            </w:r>
          </w:p>
        </w:tc>
        <w:tc>
          <w:tcPr>
            <w:tcW w:type="dxa" w:w="6520"/>
            <w:tcMar>
              <w:top w:type="dxa" w:w="60"/>
              <w:left w:type="dxa" w:w="110"/>
              <w:bottom w:type="dxa" w:w="60"/>
              <w:right w:type="dxa" w:w="110"/>
            </w:tcMar>
          </w:tcPr>
          <w:p>
            <w:pPr>
              <w:spacing w:after="20" w:line="248"/>
            </w:pPr>
            <w:r>
              <w:rPr>
                <w:b w:val="false"/>
                <w:bCs w:val="false"/>
                <w:color w:val="222222"/>
                <w:sz w:val="19"/>
                <w:szCs w:val="19"/>
              </w:rPr>
              <w:t xml:space="preserve">Every field traces to source — BCBS 239 satisfied by construction.</w:t>
            </w:r>
          </w:p>
        </w:tc>
      </w:tr>
      <w:tr>
        <w:tc>
          <w:tcPr>
            <w:tcW w:type="dxa" w:w="2500"/>
            <w:shd w:fill="F2F5FB" w:color="auto" w:val="clear"/>
            <w:tcMar>
              <w:top w:type="dxa" w:w="60"/>
              <w:left w:type="dxa" w:w="110"/>
              <w:bottom w:type="dxa" w:w="60"/>
              <w:right w:type="dxa" w:w="110"/>
            </w:tcMar>
          </w:tcPr>
          <w:p>
            <w:pPr>
              <w:spacing w:after="20" w:line="248"/>
            </w:pPr>
            <w:r>
              <w:rPr>
                <w:b/>
                <w:bCs/>
                <w:color w:val="1F3864"/>
                <w:sz w:val="19"/>
                <w:szCs w:val="19"/>
              </w:rPr>
              <w:t xml:space="preserve">Contract</w:t>
            </w:r>
          </w:p>
        </w:tc>
        <w:tc>
          <w:tcPr>
            <w:tcW w:type="dxa" w:w="65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Owner, refresh cadence, DQ rules, as-reported / bitemporal behaviour, entitlements, version.</w:t>
            </w:r>
          </w:p>
        </w:tc>
      </w:tr>
      <w:tr>
        <w:tc>
          <w:tcPr>
            <w:tcW w:type="dxa" w:w="2500"/>
            <w:tcMar>
              <w:top w:type="dxa" w:w="60"/>
              <w:left w:type="dxa" w:w="110"/>
              <w:bottom w:type="dxa" w:w="60"/>
              <w:right w:type="dxa" w:w="110"/>
            </w:tcMar>
          </w:tcPr>
          <w:p>
            <w:pPr>
              <w:spacing w:after="20" w:line="248"/>
            </w:pPr>
            <w:r>
              <w:rPr>
                <w:b/>
                <w:bCs/>
                <w:color w:val="1F3864"/>
                <w:sz w:val="19"/>
                <w:szCs w:val="19"/>
              </w:rPr>
              <w:t xml:space="preserve">Access patterns → tools</w:t>
            </w:r>
          </w:p>
        </w:tc>
        <w:tc>
          <w:tcPr>
            <w:tcW w:type="dxa" w:w="6520"/>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Point: exposure for counterparty X as-of D</w:t>
            </w:r>
          </w:p>
          <w:p>
            <w:pPr>
              <w:pStyle w:val="ListParagraph"/>
              <w:numPr>
                <w:ilvl w:val="0"/>
                <w:numId w:val="3"/>
              </w:numPr>
              <w:spacing w:after="30" w:line="244"/>
            </w:pPr>
            <w:r>
              <w:rPr>
                <w:color w:val="222222"/>
                <w:sz w:val="19"/>
                <w:szCs w:val="19"/>
              </w:rPr>
              <w:t xml:space="preserve">Filter-list: all counterparties over 80% utilisation</w:t>
            </w:r>
          </w:p>
          <w:p>
            <w:pPr>
              <w:pStyle w:val="ListParagraph"/>
              <w:numPr>
                <w:ilvl w:val="0"/>
                <w:numId w:val="3"/>
              </w:numPr>
              <w:spacing w:after="30" w:line="244"/>
            </w:pPr>
            <w:r>
              <w:rPr>
                <w:color w:val="222222"/>
                <w:sz w:val="19"/>
                <w:szCs w:val="19"/>
              </w:rPr>
              <w:t xml:space="preserve">Aggregate: total exposure by rating band</w:t>
            </w:r>
          </w:p>
          <w:p>
            <w:pPr>
              <w:pStyle w:val="ListParagraph"/>
              <w:numPr>
                <w:ilvl w:val="0"/>
                <w:numId w:val="3"/>
              </w:numPr>
              <w:spacing w:after="30" w:line="244"/>
            </w:pPr>
            <w:r>
              <w:rPr>
                <w:color w:val="222222"/>
                <w:sz w:val="19"/>
                <w:szCs w:val="19"/>
              </w:rPr>
              <w:t xml:space="preserve">Time-series: exposure trend for X over N months</w:t>
            </w:r>
          </w:p>
        </w:tc>
      </w:tr>
    </w:tbl>
    <w:p>
      <w:pPr>
        <w:spacing w:after="120" w:line="264"/>
      </w:pPr>
      <w:r>
        <w:rPr>
          <w:b w:val="false"/>
          <w:bCs w:val="false"/>
          <w:i w:val="false"/>
          <w:iCs w:val="false"/>
          <w:color w:val="222222"/>
          <w:sz w:val="21"/>
          <w:szCs w:val="21"/>
        </w:rPr>
        <w:t xml:space="preserve">Those 3–5 access patterns are the tools for this one product. </w:t>
      </w:r>
      <w:r>
        <w:rPr>
          <w:b/>
          <w:bCs/>
          <w:i w:val="false"/>
          <w:iCs w:val="false"/>
          <w:color w:val="222222"/>
          <w:sz w:val="21"/>
          <w:szCs w:val="21"/>
        </w:rPr>
        <w:t xml:space="preserve">Product → tools is one-to-few, and that is the tool count</w:t>
      </w:r>
      <w:r>
        <w:rPr>
          <w:b w:val="false"/>
          <w:bCs w:val="false"/>
          <w:i w:val="false"/>
          <w:iCs w:val="false"/>
          <w:color w:val="222222"/>
          <w:sz w:val="21"/>
          <w:szCs w:val="21"/>
        </w:rPr>
        <w:t xml:space="preserve"> — bounded at products × 3–5 patterns (low hundreds across the estate, not thousands). Parameterisation absorbs natural-language variation; composition covers the tail; graceful decline + log is the backlog.</w:t>
      </w:r>
    </w:p>
    <w:p>
      <w:r>
        <w:br w:type="page"/>
      </w:r>
    </w:p>
    <w:p>
      <w:pPr>
        <w:pStyle w:val="Heading1"/>
        <w:spacing w:after="140" w:before="320"/>
      </w:pPr>
      <w:r>
        <w:rPr>
          <w:b/>
          <w:bCs/>
          <w:color w:val="1F3864"/>
          <w:sz w:val="30"/>
          <w:szCs w:val="30"/>
        </w:rPr>
        <w:t xml:space="preserve">5.  Pattern classification</w:t>
      </w:r>
    </w:p>
    <w:p>
      <w:pPr>
        <w:spacing w:after="120" w:line="264"/>
      </w:pPr>
      <w:r>
        <w:rPr>
          <w:color w:val="222222"/>
          <w:sz w:val="21"/>
          <w:szCs w:val="21"/>
        </w:rPr>
        <w:t xml:space="preserve">Run through the DARB pattern catalogue, this architecture is a small, deliberate subset. Most of the estate’s risk concentrates in one pattern (MCP/Tool), with a clear, defensible exclusion.</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900"/>
        <w:gridCol w:w="4720"/>
      </w:tblGrid>
      <w:tr>
        <w:trPr>
          <w:tblHeader/>
        </w:trPr>
        <w:tc>
          <w:tcPr>
            <w:tcW w:type="dxa" w:w="2400"/>
            <w:shd w:fill="2E5496" w:color="auto" w:val="clear"/>
            <w:tcMar>
              <w:top w:type="dxa" w:w="60"/>
              <w:left w:type="dxa" w:w="110"/>
              <w:bottom w:type="dxa" w:w="60"/>
              <w:right w:type="dxa" w:w="110"/>
            </w:tcMar>
          </w:tcPr>
          <w:p>
            <w:pPr>
              <w:spacing w:after="40" w:line="250"/>
            </w:pPr>
            <w:r>
              <w:rPr>
                <w:b/>
                <w:bCs/>
                <w:color w:val="FFFFFF"/>
                <w:sz w:val="19"/>
                <w:szCs w:val="19"/>
              </w:rPr>
              <w:t xml:space="preserve">DARB pattern</w:t>
            </w:r>
          </w:p>
        </w:tc>
        <w:tc>
          <w:tcPr>
            <w:tcW w:type="dxa" w:w="1900"/>
            <w:shd w:fill="2E5496" w:color="auto" w:val="clear"/>
            <w:tcMar>
              <w:top w:type="dxa" w:w="60"/>
              <w:left w:type="dxa" w:w="110"/>
              <w:bottom w:type="dxa" w:w="60"/>
              <w:right w:type="dxa" w:w="110"/>
            </w:tcMar>
          </w:tcPr>
          <w:p>
            <w:pPr>
              <w:spacing w:after="40" w:line="250"/>
            </w:pPr>
            <w:r>
              <w:rPr>
                <w:b/>
                <w:bCs/>
                <w:color w:val="FFFFFF"/>
                <w:sz w:val="19"/>
                <w:szCs w:val="19"/>
              </w:rPr>
              <w:t xml:space="preserve">Applies here?</w:t>
            </w:r>
          </w:p>
        </w:tc>
        <w:tc>
          <w:tcPr>
            <w:tcW w:type="dxa" w:w="4720"/>
            <w:shd w:fill="2E5496" w:color="auto" w:val="clear"/>
            <w:tcMar>
              <w:top w:type="dxa" w:w="60"/>
              <w:left w:type="dxa" w:w="110"/>
              <w:bottom w:type="dxa" w:w="60"/>
              <w:right w:type="dxa" w:w="110"/>
            </w:tcMar>
          </w:tcPr>
          <w:p>
            <w:pPr>
              <w:spacing w:after="40" w:line="250"/>
            </w:pPr>
            <w:r>
              <w:rPr>
                <w:b/>
                <w:bCs/>
                <w:color w:val="FFFFFF"/>
                <w:sz w:val="19"/>
                <w:szCs w:val="19"/>
              </w:rPr>
              <w:t xml:space="preserve">How it appears</w:t>
            </w:r>
          </w:p>
        </w:tc>
      </w:tr>
      <w:tr>
        <w:tc>
          <w:tcPr>
            <w:tcW w:type="dxa" w:w="2400"/>
            <w:tcMar>
              <w:top w:type="dxa" w:w="60"/>
              <w:left w:type="dxa" w:w="110"/>
              <w:bottom w:type="dxa" w:w="60"/>
              <w:right w:type="dxa" w:w="110"/>
            </w:tcMar>
          </w:tcPr>
          <w:p>
            <w:pPr>
              <w:spacing w:after="20" w:line="248"/>
            </w:pPr>
            <w:r>
              <w:rPr>
                <w:b/>
                <w:bCs/>
                <w:color w:val="1F3864"/>
                <w:sz w:val="19"/>
                <w:szCs w:val="19"/>
              </w:rPr>
              <w:t xml:space="preserve">MCP / Tool integration</w:t>
            </w:r>
          </w:p>
        </w:tc>
        <w:tc>
          <w:tcPr>
            <w:tcW w:type="dxa" w:w="1900"/>
            <w:tcMar>
              <w:top w:type="dxa" w:w="60"/>
              <w:left w:type="dxa" w:w="110"/>
              <w:bottom w:type="dxa" w:w="60"/>
              <w:right w:type="dxa" w:w="110"/>
            </w:tcMar>
          </w:tcPr>
          <w:p>
            <w:pPr>
              <w:spacing w:after="20" w:line="248"/>
            </w:pPr>
            <w:r>
              <w:rPr>
                <w:b w:val="false"/>
                <w:bCs w:val="false"/>
                <w:color w:val="222222"/>
                <w:sz w:val="19"/>
                <w:szCs w:val="19"/>
              </w:rPr>
              <w:t xml:space="preserve">YES — primary</w:t>
            </w:r>
          </w:p>
        </w:tc>
        <w:tc>
          <w:tcPr>
            <w:tcW w:type="dxa" w:w="4720"/>
            <w:tcMar>
              <w:top w:type="dxa" w:w="60"/>
              <w:left w:type="dxa" w:w="110"/>
              <w:bottom w:type="dxa" w:w="60"/>
              <w:right w:type="dxa" w:w="110"/>
            </w:tcMar>
          </w:tcPr>
          <w:p>
            <w:pPr>
              <w:spacing w:after="20" w:line="248"/>
            </w:pPr>
            <w:r>
              <w:rPr>
                <w:b w:val="false"/>
                <w:bCs w:val="false"/>
                <w:color w:val="222222"/>
                <w:sz w:val="19"/>
                <w:szCs w:val="19"/>
              </w:rPr>
              <w:t xml:space="preserve">The whole serving surface. Each data product → a small set of typed tools over fixed queries.</w:t>
            </w:r>
          </w:p>
        </w:tc>
      </w:tr>
      <w:tr>
        <w:tc>
          <w:tcPr>
            <w:tcW w:type="dxa" w:w="2400"/>
            <w:shd w:fill="F2F5FB" w:color="auto" w:val="clear"/>
            <w:tcMar>
              <w:top w:type="dxa" w:w="60"/>
              <w:left w:type="dxa" w:w="110"/>
              <w:bottom w:type="dxa" w:w="60"/>
              <w:right w:type="dxa" w:w="110"/>
            </w:tcMar>
          </w:tcPr>
          <w:p>
            <w:pPr>
              <w:spacing w:after="20" w:line="248"/>
            </w:pPr>
            <w:r>
              <w:rPr>
                <w:b/>
                <w:bCs/>
                <w:color w:val="1F3864"/>
                <w:sz w:val="19"/>
                <w:szCs w:val="19"/>
              </w:rPr>
              <w:t xml:space="preserve">RAG</w:t>
            </w:r>
          </w:p>
        </w:tc>
        <w:tc>
          <w:tcPr>
            <w:tcW w:type="dxa" w:w="190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Partial</w:t>
            </w:r>
          </w:p>
        </w:tc>
        <w:tc>
          <w:tcPr>
            <w:tcW w:type="dxa" w:w="47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Only for unstructured content (policies, docs, narrative). Never pointed at the star schema. Numeric / structured questions go to deterministic tools.</w:t>
            </w:r>
          </w:p>
        </w:tc>
      </w:tr>
      <w:tr>
        <w:tc>
          <w:tcPr>
            <w:tcW w:type="dxa" w:w="2400"/>
            <w:tcMar>
              <w:top w:type="dxa" w:w="60"/>
              <w:left w:type="dxa" w:w="110"/>
              <w:bottom w:type="dxa" w:w="60"/>
              <w:right w:type="dxa" w:w="110"/>
            </w:tcMar>
          </w:tcPr>
          <w:p>
            <w:pPr>
              <w:spacing w:after="20" w:line="248"/>
            </w:pPr>
            <w:r>
              <w:rPr>
                <w:b/>
                <w:bCs/>
                <w:color w:val="1F3864"/>
                <w:sz w:val="19"/>
                <w:szCs w:val="19"/>
              </w:rPr>
              <w:t xml:space="preserve">Router / semantic routing</w:t>
            </w:r>
          </w:p>
        </w:tc>
        <w:tc>
          <w:tcPr>
            <w:tcW w:type="dxa" w:w="1900"/>
            <w:tcMar>
              <w:top w:type="dxa" w:w="60"/>
              <w:left w:type="dxa" w:w="110"/>
              <w:bottom w:type="dxa" w:w="60"/>
              <w:right w:type="dxa" w:w="110"/>
            </w:tcMar>
          </w:tcPr>
          <w:p>
            <w:pPr>
              <w:spacing w:after="20" w:line="248"/>
            </w:pPr>
            <w:r>
              <w:rPr>
                <w:b w:val="false"/>
                <w:bCs w:val="false"/>
                <w:color w:val="222222"/>
                <w:sz w:val="19"/>
                <w:szCs w:val="19"/>
              </w:rPr>
              <w:t xml:space="preserve">Adjacent</w:t>
            </w:r>
          </w:p>
        </w:tc>
        <w:tc>
          <w:tcPr>
            <w:tcW w:type="dxa" w:w="4720"/>
            <w:tcMar>
              <w:top w:type="dxa" w:w="60"/>
              <w:left w:type="dxa" w:w="110"/>
              <w:bottom w:type="dxa" w:w="60"/>
              <w:right w:type="dxa" w:w="110"/>
            </w:tcMar>
          </w:tcPr>
          <w:p>
            <w:pPr>
              <w:spacing w:after="20" w:line="248"/>
            </w:pPr>
            <w:r>
              <w:rPr>
                <w:b w:val="false"/>
                <w:bCs w:val="false"/>
                <w:color w:val="222222"/>
                <w:sz w:val="19"/>
                <w:szCs w:val="19"/>
              </w:rPr>
              <w:t xml:space="preserve">The consumer-side orchestrator that splits structured→tools vs unstructured→RAG. Out of this layer’s scope but documented as the boundary.</w:t>
            </w:r>
          </w:p>
        </w:tc>
      </w:tr>
      <w:tr>
        <w:tc>
          <w:tcPr>
            <w:tcW w:type="dxa" w:w="2400"/>
            <w:shd w:fill="F2F5FB" w:color="auto" w:val="clear"/>
            <w:tcMar>
              <w:top w:type="dxa" w:w="60"/>
              <w:left w:type="dxa" w:w="110"/>
              <w:bottom w:type="dxa" w:w="60"/>
              <w:right w:type="dxa" w:w="110"/>
            </w:tcMar>
          </w:tcPr>
          <w:p>
            <w:pPr>
              <w:spacing w:after="20" w:line="248"/>
            </w:pPr>
            <w:r>
              <w:rPr>
                <w:b/>
                <w:bCs/>
                <w:color w:val="1F3864"/>
                <w:sz w:val="19"/>
                <w:szCs w:val="19"/>
              </w:rPr>
              <w:t xml:space="preserve">Text-to-SQL / NL2X</w:t>
            </w:r>
          </w:p>
        </w:tc>
        <w:tc>
          <w:tcPr>
            <w:tcW w:type="dxa" w:w="190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NO — deliberately excluded</w:t>
            </w:r>
          </w:p>
        </w:tc>
        <w:tc>
          <w:tcPr>
            <w:tcW w:type="dxa" w:w="47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Recognised by the DARB as its own pattern with a distinct injection + entitlement profile. We choose typed tools over certified products instead. This exclusion is the design’s key safety decision.</w:t>
            </w:r>
          </w:p>
        </w:tc>
      </w:tr>
      <w:tr>
        <w:tc>
          <w:tcPr>
            <w:tcW w:type="dxa" w:w="2400"/>
            <w:tcMar>
              <w:top w:type="dxa" w:w="60"/>
              <w:left w:type="dxa" w:w="110"/>
              <w:bottom w:type="dxa" w:w="60"/>
              <w:right w:type="dxa" w:w="110"/>
            </w:tcMar>
          </w:tcPr>
          <w:p>
            <w:pPr>
              <w:spacing w:after="20" w:line="248"/>
            </w:pPr>
            <w:r>
              <w:rPr>
                <w:b/>
                <w:bCs/>
                <w:color w:val="1F3864"/>
                <w:sz w:val="19"/>
                <w:szCs w:val="19"/>
              </w:rPr>
              <w:t xml:space="preserve">Copilot / Agentic / LLM-as-task / others</w:t>
            </w:r>
          </w:p>
        </w:tc>
        <w:tc>
          <w:tcPr>
            <w:tcW w:type="dxa" w:w="1900"/>
            <w:tcMar>
              <w:top w:type="dxa" w:w="60"/>
              <w:left w:type="dxa" w:w="110"/>
              <w:bottom w:type="dxa" w:w="60"/>
              <w:right w:type="dxa" w:w="110"/>
            </w:tcMar>
          </w:tcPr>
          <w:p>
            <w:pPr>
              <w:spacing w:after="20" w:line="248"/>
            </w:pPr>
            <w:r>
              <w:rPr>
                <w:b w:val="false"/>
                <w:bCs w:val="false"/>
                <w:color w:val="222222"/>
                <w:sz w:val="19"/>
                <w:szCs w:val="19"/>
              </w:rPr>
              <w:t xml:space="preserve">NO</w:t>
            </w:r>
          </w:p>
        </w:tc>
        <w:tc>
          <w:tcPr>
            <w:tcW w:type="dxa" w:w="4720"/>
            <w:tcMar>
              <w:top w:type="dxa" w:w="60"/>
              <w:left w:type="dxa" w:w="110"/>
              <w:bottom w:type="dxa" w:w="60"/>
              <w:right w:type="dxa" w:w="110"/>
            </w:tcMar>
          </w:tcPr>
          <w:p>
            <w:pPr>
              <w:spacing w:after="20" w:line="248"/>
            </w:pPr>
            <w:r>
              <w:rPr>
                <w:b w:val="false"/>
                <w:bCs w:val="false"/>
                <w:color w:val="222222"/>
                <w:sz w:val="19"/>
                <w:szCs w:val="19"/>
              </w:rPr>
              <w:t xml:space="preserve">Consumers of this layer, not part of it.</w:t>
            </w:r>
          </w:p>
        </w:tc>
      </w:tr>
    </w:tbl>
    <w:p>
      <w:pPr>
        <w:pStyle w:val="Heading1"/>
        <w:spacing w:after="140" w:before="320"/>
      </w:pPr>
      <w:r>
        <w:rPr>
          <w:b/>
          <w:bCs/>
          <w:color w:val="1F3864"/>
          <w:sz w:val="30"/>
          <w:szCs w:val="30"/>
        </w:rPr>
        <w:t xml:space="preserve">6.  Common design gates</w:t>
      </w:r>
    </w:p>
    <w:p>
      <w:pPr>
        <w:spacing w:after="120" w:line="264"/>
      </w:pPr>
      <w:r>
        <w:rPr>
          <w:color w:val="222222"/>
          <w:sz w:val="21"/>
          <w:szCs w:val="21"/>
        </w:rPr>
        <w:t xml:space="preserve">The DARB gates asked of every pattern, answered for this layer. Several resolve favourably because there is no model in the data path — the serving layer is deterministic.</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3500"/>
        <w:gridCol w:w="5520"/>
      </w:tblGrid>
      <w:tr>
        <w:trPr>
          <w:tblHeader/>
        </w:trPr>
        <w:tc>
          <w:tcPr>
            <w:tcW w:type="dxa" w:w="3500"/>
            <w:shd w:fill="2E5496" w:color="auto" w:val="clear"/>
            <w:tcMar>
              <w:top w:type="dxa" w:w="60"/>
              <w:left w:type="dxa" w:w="110"/>
              <w:bottom w:type="dxa" w:w="60"/>
              <w:right w:type="dxa" w:w="110"/>
            </w:tcMar>
          </w:tcPr>
          <w:p>
            <w:pPr>
              <w:spacing w:after="40" w:line="250"/>
            </w:pPr>
            <w:r>
              <w:rPr>
                <w:b/>
                <w:bCs/>
                <w:color w:val="FFFFFF"/>
                <w:sz w:val="19"/>
                <w:szCs w:val="19"/>
              </w:rPr>
              <w:t xml:space="preserve">DARB design question</w:t>
            </w:r>
          </w:p>
        </w:tc>
        <w:tc>
          <w:tcPr>
            <w:tcW w:type="dxa" w:w="5520"/>
            <w:shd w:fill="2E5496" w:color="auto" w:val="clear"/>
            <w:tcMar>
              <w:top w:type="dxa" w:w="60"/>
              <w:left w:type="dxa" w:w="110"/>
              <w:bottom w:type="dxa" w:w="60"/>
              <w:right w:type="dxa" w:w="110"/>
            </w:tcMar>
          </w:tcPr>
          <w:p>
            <w:pPr>
              <w:spacing w:after="40" w:line="250"/>
            </w:pPr>
            <w:r>
              <w:rPr>
                <w:b/>
                <w:bCs/>
                <w:color w:val="FFFFFF"/>
                <w:sz w:val="19"/>
                <w:szCs w:val="19"/>
              </w:rPr>
              <w:t xml:space="preserve">Our design position</w:t>
            </w:r>
          </w:p>
        </w:tc>
      </w:tr>
      <w:tr>
        <w:tc>
          <w:tcPr>
            <w:tcW w:type="dxa" w:w="3500"/>
            <w:tcMar>
              <w:top w:type="dxa" w:w="60"/>
              <w:left w:type="dxa" w:w="110"/>
              <w:bottom w:type="dxa" w:w="60"/>
              <w:right w:type="dxa" w:w="110"/>
            </w:tcMar>
          </w:tcPr>
          <w:p>
            <w:pPr>
              <w:spacing w:after="20" w:line="248"/>
            </w:pPr>
            <w:r>
              <w:rPr>
                <w:b/>
                <w:bCs/>
                <w:color w:val="1F3864"/>
                <w:sz w:val="19"/>
                <w:szCs w:val="19"/>
              </w:rPr>
              <w:t xml:space="preserve">Business context</w:t>
            </w:r>
          </w:p>
        </w:tc>
        <w:tc>
          <w:tcPr>
            <w:tcW w:type="dxa" w:w="5520"/>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Serving layer exposing certified data products to any future consumer (apps, notebooks, BI, agents).</w:t>
            </w:r>
          </w:p>
          <w:p>
            <w:pPr>
              <w:pStyle w:val="ListParagraph"/>
              <w:numPr>
                <w:ilvl w:val="0"/>
                <w:numId w:val="3"/>
              </w:numPr>
              <w:spacing w:after="30" w:line="244"/>
            </w:pPr>
            <w:r>
              <w:rPr>
                <w:color w:val="222222"/>
                <w:sz w:val="19"/>
                <w:szCs w:val="19"/>
              </w:rPr>
              <w:t xml:space="preserve">Feeds analytical and regulated reporting — high materiality.</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Data classification &amp; boundary</w:t>
            </w:r>
          </w:p>
        </w:tc>
        <w:tc>
          <w:tcPr>
            <w:tcW w:type="dxa" w:w="5520"/>
            <w:shd w:fill="F2F5FB" w:color="auto" w:val="clear"/>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Confidential / MNPI / PII mix (counterparty, exposure).</w:t>
            </w:r>
          </w:p>
          <w:p>
            <w:pPr>
              <w:pStyle w:val="ListParagraph"/>
              <w:numPr>
                <w:ilvl w:val="0"/>
                <w:numId w:val="3"/>
              </w:numPr>
              <w:spacing w:after="30" w:line="244"/>
            </w:pPr>
            <w:r>
              <w:rPr>
                <w:color w:val="222222"/>
                <w:sz w:val="19"/>
                <w:szCs w:val="19"/>
              </w:rPr>
              <w:t xml:space="preserve">No egress — data stays within the bank boundary; tools return only entitlement-filtered rows.</w:t>
            </w:r>
          </w:p>
        </w:tc>
      </w:tr>
      <w:tr>
        <w:tc>
          <w:tcPr>
            <w:tcW w:type="dxa" w:w="3500"/>
            <w:tcMar>
              <w:top w:type="dxa" w:w="60"/>
              <w:left w:type="dxa" w:w="110"/>
              <w:bottom w:type="dxa" w:w="60"/>
              <w:right w:type="dxa" w:w="110"/>
            </w:tcMar>
          </w:tcPr>
          <w:p>
            <w:pPr>
              <w:spacing w:after="20" w:line="248"/>
            </w:pPr>
            <w:r>
              <w:rPr>
                <w:b/>
                <w:bCs/>
                <w:color w:val="1F3864"/>
                <w:sz w:val="19"/>
                <w:szCs w:val="19"/>
              </w:rPr>
              <w:t xml:space="preserve">Model &amp; hosting</w:t>
            </w:r>
          </w:p>
        </w:tc>
        <w:tc>
          <w:tcPr>
            <w:tcW w:type="dxa" w:w="5520"/>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No LLM in the data path. The layer serves data deterministically; AI consumers sit outside it.</w:t>
            </w:r>
          </w:p>
          <w:p>
            <w:pPr>
              <w:pStyle w:val="ListParagraph"/>
              <w:numPr>
                <w:ilvl w:val="0"/>
                <w:numId w:val="3"/>
              </w:numPr>
              <w:spacing w:after="30" w:line="244"/>
            </w:pPr>
            <w:r>
              <w:rPr>
                <w:color w:val="222222"/>
                <w:sz w:val="19"/>
                <w:szCs w:val="19"/>
              </w:rPr>
              <w:t xml:space="preserve">Removes model-risk (SR 11-7) exposure from the serving layer entirely — a deliberate design win.</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Human-in-the-loop</w:t>
            </w:r>
          </w:p>
        </w:tc>
        <w:tc>
          <w:tcPr>
            <w:tcW w:type="dxa" w:w="5520"/>
            <w:shd w:fill="F2F5FB" w:color="auto" w:val="clear"/>
            <w:tcMar>
              <w:top w:type="dxa" w:w="60"/>
              <w:left w:type="dxa" w:w="110"/>
              <w:bottom w:type="dxa" w:w="60"/>
              <w:right w:type="dxa" w:w="110"/>
            </w:tcMar>
          </w:tcPr>
          <w:p>
            <w:pPr>
              <w:spacing w:after="20" w:line="250"/>
            </w:pPr>
            <w:r>
              <w:rPr>
                <w:sz w:val="19"/>
                <w:szCs w:val="19"/>
              </w:rPr>
              <w:t xml:space="preserve">Not applicable to a deterministic data layer. Governance is via the product owner and contract, not runtime override.</w:t>
            </w:r>
          </w:p>
        </w:tc>
      </w:tr>
      <w:tr>
        <w:tc>
          <w:tcPr>
            <w:tcW w:type="dxa" w:w="3500"/>
            <w:tcMar>
              <w:top w:type="dxa" w:w="60"/>
              <w:left w:type="dxa" w:w="110"/>
              <w:bottom w:type="dxa" w:w="60"/>
              <w:right w:type="dxa" w:w="110"/>
            </w:tcMar>
          </w:tcPr>
          <w:p>
            <w:pPr>
              <w:spacing w:after="20" w:line="248"/>
            </w:pPr>
            <w:r>
              <w:rPr>
                <w:b/>
                <w:bCs/>
                <w:color w:val="1F3864"/>
                <w:sz w:val="19"/>
                <w:szCs w:val="19"/>
              </w:rPr>
              <w:t xml:space="preserve">Guardrails</w:t>
            </w:r>
          </w:p>
        </w:tc>
        <w:tc>
          <w:tcPr>
            <w:tcW w:type="dxa" w:w="5520"/>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No free-text generation in the layer.</w:t>
            </w:r>
          </w:p>
          <w:p>
            <w:pPr>
              <w:pStyle w:val="ListParagraph"/>
              <w:numPr>
                <w:ilvl w:val="0"/>
                <w:numId w:val="3"/>
              </w:numPr>
              <w:spacing w:after="30" w:line="244"/>
            </w:pPr>
            <w:r>
              <w:rPr>
                <w:color w:val="222222"/>
                <w:sz w:val="19"/>
                <w:szCs w:val="19"/>
              </w:rPr>
              <w:t xml:space="preserve">Typed parameter validation; unsupported requests are declined and logged (the backlog signal).</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Observability</w:t>
            </w:r>
          </w:p>
        </w:tc>
        <w:tc>
          <w:tcPr>
            <w:tcW w:type="dxa" w:w="5520"/>
            <w:shd w:fill="F2F5FB" w:color="auto" w:val="clear"/>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Every access logged at the filter — who asked, what filter applied, what returned.</w:t>
            </w:r>
          </w:p>
          <w:p>
            <w:pPr>
              <w:pStyle w:val="ListParagraph"/>
              <w:numPr>
                <w:ilvl w:val="0"/>
                <w:numId w:val="3"/>
              </w:numPr>
              <w:spacing w:after="30" w:line="244"/>
            </w:pPr>
            <w:r>
              <w:rPr>
                <w:color w:val="222222"/>
                <w:sz w:val="19"/>
                <w:szCs w:val="19"/>
              </w:rPr>
              <w:t xml:space="preserve">Correlation ID propagated across hops. This log is the BCBS 239 / access-audit evidence.</w:t>
            </w:r>
          </w:p>
        </w:tc>
      </w:tr>
      <w:tr>
        <w:tc>
          <w:tcPr>
            <w:tcW w:type="dxa" w:w="3500"/>
            <w:tcMar>
              <w:top w:type="dxa" w:w="60"/>
              <w:left w:type="dxa" w:w="110"/>
              <w:bottom w:type="dxa" w:w="60"/>
              <w:right w:type="dxa" w:w="110"/>
            </w:tcMar>
          </w:tcPr>
          <w:p>
            <w:pPr>
              <w:spacing w:after="20" w:line="248"/>
            </w:pPr>
            <w:r>
              <w:rPr>
                <w:b/>
                <w:bCs/>
                <w:color w:val="1F3864"/>
                <w:sz w:val="19"/>
                <w:szCs w:val="19"/>
              </w:rPr>
              <w:t xml:space="preserve">Evals</w:t>
            </w:r>
          </w:p>
        </w:tc>
        <w:tc>
          <w:tcPr>
            <w:tcW w:type="dxa" w:w="5520"/>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Each tool is a fixed, reviewed, tested query — certified once, inherited by every consumer.</w:t>
            </w:r>
          </w:p>
          <w:p>
            <w:pPr>
              <w:pStyle w:val="ListParagraph"/>
              <w:numPr>
                <w:ilvl w:val="0"/>
                <w:numId w:val="3"/>
              </w:numPr>
              <w:spacing w:after="30" w:line="244"/>
            </w:pPr>
            <w:r>
              <w:rPr>
                <w:color w:val="222222"/>
                <w:sz w:val="19"/>
                <w:szCs w:val="19"/>
              </w:rPr>
              <w:t xml:space="preserve">Products reconcile to the golden definition from the migration work.</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Security</w:t>
            </w:r>
          </w:p>
        </w:tc>
        <w:tc>
          <w:tcPr>
            <w:tcW w:type="dxa" w:w="5520"/>
            <w:shd w:fill="F2F5FB" w:color="auto" w:val="clear"/>
            <w:tcMar>
              <w:top w:type="dxa" w:w="60"/>
              <w:left w:type="dxa" w:w="110"/>
              <w:bottom w:type="dxa" w:w="60"/>
              <w:right w:type="dxa" w:w="110"/>
            </w:tcMar>
          </w:tcPr>
          <w:p>
            <w:pPr>
              <w:spacing w:after="20" w:line="250"/>
            </w:pPr>
            <w:r>
              <w:rPr>
                <w:sz w:val="19"/>
                <w:szCs w:val="19"/>
              </w:rPr>
              <w:t xml:space="preserve">On-behalf-of identity, least privilege, no service account. Detailed in §8.</w:t>
            </w:r>
          </w:p>
        </w:tc>
      </w:tr>
      <w:tr>
        <w:tc>
          <w:tcPr>
            <w:tcW w:type="dxa" w:w="3500"/>
            <w:tcMar>
              <w:top w:type="dxa" w:w="60"/>
              <w:left w:type="dxa" w:w="110"/>
              <w:bottom w:type="dxa" w:w="60"/>
              <w:right w:type="dxa" w:w="110"/>
            </w:tcMar>
          </w:tcPr>
          <w:p>
            <w:pPr>
              <w:spacing w:after="20" w:line="248"/>
            </w:pPr>
            <w:r>
              <w:rPr>
                <w:b/>
                <w:bCs/>
                <w:color w:val="1F3864"/>
                <w:sz w:val="19"/>
                <w:szCs w:val="19"/>
              </w:rPr>
              <w:t xml:space="preserve">Cost &amp; scale</w:t>
            </w:r>
          </w:p>
        </w:tc>
        <w:tc>
          <w:tcPr>
            <w:tcW w:type="dxa" w:w="5520"/>
            <w:tcMar>
              <w:top w:type="dxa" w:w="60"/>
              <w:left w:type="dxa" w:w="110"/>
              <w:bottom w:type="dxa" w:w="60"/>
              <w:right w:type="dxa" w:w="110"/>
            </w:tcMar>
          </w:tcPr>
          <w:p>
            <w:pPr>
              <w:spacing w:after="20" w:line="250"/>
            </w:pPr>
            <w:r>
              <w:rPr>
                <w:sz w:val="19"/>
                <w:szCs w:val="19"/>
              </w:rPr>
              <w:t xml:space="preserve">Views virtualised by default; materialise only hot paths. Read-only; naturally cacheable subject to the entitlement-aware cache rule (§8).</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Lifecycle</w:t>
            </w:r>
          </w:p>
        </w:tc>
        <w:tc>
          <w:tcPr>
            <w:tcW w:type="dxa" w:w="5520"/>
            <w:shd w:fill="F2F5FB" w:color="auto" w:val="clear"/>
            <w:tcMar>
              <w:top w:type="dxa" w:w="60"/>
              <w:left w:type="dxa" w:w="110"/>
              <w:bottom w:type="dxa" w:w="60"/>
              <w:right w:type="dxa" w:w="110"/>
            </w:tcMar>
          </w:tcPr>
          <w:p>
            <w:pPr>
              <w:spacing w:after="20" w:line="250"/>
            </w:pPr>
            <w:r>
              <w:rPr>
                <w:sz w:val="19"/>
                <w:szCs w:val="19"/>
              </w:rPr>
              <w:t xml:space="preserve">Product owner per product; tool schema versioned with backward-compatibility on change; retire via catalog de-listing.</w:t>
            </w:r>
          </w:p>
        </w:tc>
      </w:tr>
      <w:tr>
        <w:tc>
          <w:tcPr>
            <w:tcW w:type="dxa" w:w="3500"/>
            <w:tcMar>
              <w:top w:type="dxa" w:w="60"/>
              <w:left w:type="dxa" w:w="110"/>
              <w:bottom w:type="dxa" w:w="60"/>
              <w:right w:type="dxa" w:w="110"/>
            </w:tcMar>
          </w:tcPr>
          <w:p>
            <w:pPr>
              <w:spacing w:after="20" w:line="248"/>
            </w:pPr>
            <w:r>
              <w:rPr>
                <w:b/>
                <w:bCs/>
                <w:color w:val="1F3864"/>
                <w:sz w:val="19"/>
                <w:szCs w:val="19"/>
              </w:rPr>
              <w:t xml:space="preserve">Regulatory</w:t>
            </w:r>
          </w:p>
        </w:tc>
        <w:tc>
          <w:tcPr>
            <w:tcW w:type="dxa" w:w="5520"/>
            <w:tcMar>
              <w:top w:type="dxa" w:w="60"/>
              <w:left w:type="dxa" w:w="110"/>
              <w:bottom w:type="dxa" w:w="60"/>
              <w:right w:type="dxa" w:w="110"/>
            </w:tcMar>
          </w:tcPr>
          <w:p>
            <w:pPr>
              <w:spacing w:after="20" w:line="250"/>
            </w:pPr>
            <w:r>
              <w:rPr>
                <w:sz w:val="19"/>
                <w:szCs w:val="19"/>
              </w:rPr>
              <w:t xml:space="preserve">BCBS 239 lineage by construction; access audit at the filter; GDPR handled via column entitlement / masking.</w:t>
            </w:r>
          </w:p>
        </w:tc>
      </w:tr>
    </w:tbl>
    <w:p>
      <w:r>
        <w:br w:type="page"/>
      </w:r>
    </w:p>
    <w:p>
      <w:pPr>
        <w:pStyle w:val="Heading1"/>
        <w:spacing w:after="140" w:before="320"/>
      </w:pPr>
      <w:r>
        <w:rPr>
          <w:b/>
          <w:bCs/>
          <w:color w:val="1F3864"/>
          <w:sz w:val="30"/>
          <w:szCs w:val="30"/>
        </w:rPr>
        <w:t xml:space="preserve">7.  MCP / Tool integration — design assessment</w:t>
      </w:r>
    </w:p>
    <w:p>
      <w:pPr>
        <w:spacing w:after="120" w:line="264"/>
      </w:pPr>
      <w:r>
        <w:rPr>
          <w:color w:val="222222"/>
          <w:sz w:val="21"/>
          <w:szCs w:val="21"/>
        </w:rPr>
        <w:t xml:space="preserve">The primary pattern. High-level and low-level (design-deep) DARB questions, each answered from the target design.</w:t>
      </w:r>
    </w:p>
    <w:p>
      <w:pPr>
        <w:pStyle w:val="Heading3"/>
        <w:spacing w:after="80" w:before="180"/>
      </w:pPr>
      <w:r>
        <w:rPr>
          <w:b/>
          <w:bCs/>
          <w:color w:val="2E5496"/>
          <w:sz w:val="22"/>
          <w:szCs w:val="22"/>
        </w:rPr>
        <w:t xml:space="preserve">High-level</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3500"/>
        <w:gridCol w:w="5520"/>
      </w:tblGrid>
      <w:tr>
        <w:trPr>
          <w:tblHeader/>
        </w:trPr>
        <w:tc>
          <w:tcPr>
            <w:tcW w:type="dxa" w:w="3500"/>
            <w:shd w:fill="2E5496" w:color="auto" w:val="clear"/>
            <w:tcMar>
              <w:top w:type="dxa" w:w="60"/>
              <w:left w:type="dxa" w:w="110"/>
              <w:bottom w:type="dxa" w:w="60"/>
              <w:right w:type="dxa" w:w="110"/>
            </w:tcMar>
          </w:tcPr>
          <w:p>
            <w:pPr>
              <w:spacing w:after="40" w:line="250"/>
            </w:pPr>
            <w:r>
              <w:rPr>
                <w:b/>
                <w:bCs/>
                <w:color w:val="FFFFFF"/>
                <w:sz w:val="19"/>
                <w:szCs w:val="19"/>
              </w:rPr>
              <w:t xml:space="preserve">DARB design question</w:t>
            </w:r>
          </w:p>
        </w:tc>
        <w:tc>
          <w:tcPr>
            <w:tcW w:type="dxa" w:w="5520"/>
            <w:shd w:fill="2E5496" w:color="auto" w:val="clear"/>
            <w:tcMar>
              <w:top w:type="dxa" w:w="60"/>
              <w:left w:type="dxa" w:w="110"/>
              <w:bottom w:type="dxa" w:w="60"/>
              <w:right w:type="dxa" w:w="110"/>
            </w:tcMar>
          </w:tcPr>
          <w:p>
            <w:pPr>
              <w:spacing w:after="40" w:line="250"/>
            </w:pPr>
            <w:r>
              <w:rPr>
                <w:b/>
                <w:bCs/>
                <w:color w:val="FFFFFF"/>
                <w:sz w:val="19"/>
                <w:szCs w:val="19"/>
              </w:rPr>
              <w:t xml:space="preserve">Our design position</w:t>
            </w:r>
          </w:p>
        </w:tc>
      </w:tr>
      <w:tr>
        <w:tc>
          <w:tcPr>
            <w:tcW w:type="dxa" w:w="3500"/>
            <w:tcMar>
              <w:top w:type="dxa" w:w="60"/>
              <w:left w:type="dxa" w:w="110"/>
              <w:bottom w:type="dxa" w:w="60"/>
              <w:right w:type="dxa" w:w="110"/>
            </w:tcMar>
          </w:tcPr>
          <w:p>
            <w:pPr>
              <w:spacing w:after="20" w:line="248"/>
            </w:pPr>
            <w:r>
              <w:rPr>
                <w:b/>
                <w:bCs/>
                <w:color w:val="1F3864"/>
                <w:sz w:val="19"/>
                <w:szCs w:val="19"/>
              </w:rPr>
              <w:t xml:space="preserve">Which MCP servers, internal or external?</w:t>
            </w:r>
          </w:p>
        </w:tc>
        <w:tc>
          <w:tcPr>
            <w:tcW w:type="dxa" w:w="5520"/>
            <w:tcMar>
              <w:top w:type="dxa" w:w="60"/>
              <w:left w:type="dxa" w:w="110"/>
              <w:bottom w:type="dxa" w:w="60"/>
              <w:right w:type="dxa" w:w="110"/>
            </w:tcMar>
          </w:tcPr>
          <w:p>
            <w:pPr>
              <w:spacing w:after="20" w:line="250"/>
            </w:pPr>
            <w:r>
              <w:rPr>
                <w:sz w:val="19"/>
                <w:szCs w:val="19"/>
              </w:rPr>
              <w:t xml:space="preserve">Internal only. One server per domain (e.g. Credit Risk), behind the bank gateway.</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Auth — scopes, identity, least privilege?</w:t>
            </w:r>
          </w:p>
        </w:tc>
        <w:tc>
          <w:tcPr>
            <w:tcW w:type="dxa" w:w="5520"/>
            <w:shd w:fill="F2F5FB" w:color="auto" w:val="clear"/>
            <w:tcMar>
              <w:top w:type="dxa" w:w="60"/>
              <w:left w:type="dxa" w:w="110"/>
              <w:bottom w:type="dxa" w:w="60"/>
              <w:right w:type="dxa" w:w="110"/>
            </w:tcMar>
          </w:tcPr>
          <w:p>
            <w:pPr>
              <w:spacing w:after="20" w:line="250"/>
            </w:pPr>
            <w:r>
              <w:rPr>
                <w:sz w:val="19"/>
                <w:szCs w:val="19"/>
              </w:rPr>
              <w:t xml:space="preserve">On-behalf-of user identity carried in the propagated token; least privilege per tool; never a service account.</w:t>
            </w:r>
          </w:p>
        </w:tc>
      </w:tr>
      <w:tr>
        <w:tc>
          <w:tcPr>
            <w:tcW w:type="dxa" w:w="3500"/>
            <w:tcMar>
              <w:top w:type="dxa" w:w="60"/>
              <w:left w:type="dxa" w:w="110"/>
              <w:bottom w:type="dxa" w:w="60"/>
              <w:right w:type="dxa" w:w="110"/>
            </w:tcMar>
          </w:tcPr>
          <w:p>
            <w:pPr>
              <w:spacing w:after="20" w:line="248"/>
            </w:pPr>
            <w:r>
              <w:rPr>
                <w:b/>
                <w:bCs/>
                <w:color w:val="1F3864"/>
                <w:sz w:val="19"/>
                <w:szCs w:val="19"/>
              </w:rPr>
              <w:t xml:space="preserve">Data boundary — what crosses to the tool? egress?</w:t>
            </w:r>
          </w:p>
        </w:tc>
        <w:tc>
          <w:tcPr>
            <w:tcW w:type="dxa" w:w="5520"/>
            <w:tcMar>
              <w:top w:type="dxa" w:w="60"/>
              <w:left w:type="dxa" w:w="110"/>
              <w:bottom w:type="dxa" w:w="60"/>
              <w:right w:type="dxa" w:w="110"/>
            </w:tcMar>
          </w:tcPr>
          <w:p>
            <w:pPr>
              <w:spacing w:after="20" w:line="250"/>
            </w:pPr>
            <w:r>
              <w:rPr>
                <w:sz w:val="19"/>
                <w:szCs w:val="19"/>
              </w:rPr>
              <w:t xml:space="preserve">Typed rows from the product views; nothing leaves the bank; PII returned only per entitlement.</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Server trust — first-party / vetted? supply chain?</w:t>
            </w:r>
          </w:p>
        </w:tc>
        <w:tc>
          <w:tcPr>
            <w:tcW w:type="dxa" w:w="5520"/>
            <w:shd w:fill="F2F5FB" w:color="auto" w:val="clear"/>
            <w:tcMar>
              <w:top w:type="dxa" w:w="60"/>
              <w:left w:type="dxa" w:w="110"/>
              <w:bottom w:type="dxa" w:w="60"/>
              <w:right w:type="dxa" w:w="110"/>
            </w:tcMar>
          </w:tcPr>
          <w:p>
            <w:pPr>
              <w:spacing w:after="20" w:line="250"/>
            </w:pPr>
            <w:r>
              <w:rPr>
                <w:sz w:val="19"/>
                <w:szCs w:val="19"/>
              </w:rPr>
              <w:t xml:space="preserve">First-party, bank-built and reviewed. Tool schemas version-pinned.</w:t>
            </w:r>
          </w:p>
        </w:tc>
      </w:tr>
      <w:tr>
        <w:tc>
          <w:tcPr>
            <w:tcW w:type="dxa" w:w="3500"/>
            <w:tcMar>
              <w:top w:type="dxa" w:w="60"/>
              <w:left w:type="dxa" w:w="110"/>
              <w:bottom w:type="dxa" w:w="60"/>
              <w:right w:type="dxa" w:w="110"/>
            </w:tcMar>
          </w:tcPr>
          <w:p>
            <w:pPr>
              <w:spacing w:after="20" w:line="248"/>
            </w:pPr>
            <w:r>
              <w:rPr>
                <w:b/>
                <w:bCs/>
                <w:color w:val="1F3864"/>
                <w:sz w:val="19"/>
                <w:szCs w:val="19"/>
              </w:rPr>
              <w:t xml:space="preserve">Per-tool permissions — read vs write?</w:t>
            </w:r>
          </w:p>
        </w:tc>
        <w:tc>
          <w:tcPr>
            <w:tcW w:type="dxa" w:w="5520"/>
            <w:tcMar>
              <w:top w:type="dxa" w:w="60"/>
              <w:left w:type="dxa" w:w="110"/>
              <w:bottom w:type="dxa" w:w="60"/>
              <w:right w:type="dxa" w:w="110"/>
            </w:tcMar>
          </w:tcPr>
          <w:p>
            <w:pPr>
              <w:spacing w:after="20" w:line="250"/>
            </w:pPr>
            <w:r>
              <w:rPr>
                <w:sz w:val="19"/>
                <w:szCs w:val="19"/>
              </w:rPr>
              <w:t xml:space="preserve">Read-only data tools. Small blast radius by design.</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Tool-response injection — can returned data inject instructions?</w:t>
            </w:r>
          </w:p>
        </w:tc>
        <w:tc>
          <w:tcPr>
            <w:tcW w:type="dxa" w:w="5520"/>
            <w:shd w:fill="F2F5FB" w:color="auto" w:val="clear"/>
            <w:tcMar>
              <w:top w:type="dxa" w:w="60"/>
              <w:left w:type="dxa" w:w="110"/>
              <w:bottom w:type="dxa" w:w="60"/>
              <w:right w:type="dxa" w:w="110"/>
            </w:tcMar>
          </w:tcPr>
          <w:p>
            <w:pPr>
              <w:spacing w:after="20" w:line="250"/>
            </w:pPr>
            <w:r>
              <w:rPr>
                <w:sz w:val="19"/>
                <w:szCs w:val="19"/>
              </w:rPr>
              <w:t xml:space="preserve">Tools return typed, schema-enforced rows from fixed queries — not free text. Injection surface is minimal and neutralised at the schema boundary.</w:t>
            </w:r>
          </w:p>
        </w:tc>
      </w:tr>
      <w:tr>
        <w:tc>
          <w:tcPr>
            <w:tcW w:type="dxa" w:w="3500"/>
            <w:tcMar>
              <w:top w:type="dxa" w:w="60"/>
              <w:left w:type="dxa" w:w="110"/>
              <w:bottom w:type="dxa" w:w="60"/>
              <w:right w:type="dxa" w:w="110"/>
            </w:tcMar>
          </w:tcPr>
          <w:p>
            <w:pPr>
              <w:spacing w:after="20" w:line="248"/>
            </w:pPr>
            <w:r>
              <w:rPr>
                <w:b/>
                <w:bCs/>
                <w:color w:val="1F3864"/>
                <w:sz w:val="19"/>
                <w:szCs w:val="19"/>
              </w:rPr>
              <w:t xml:space="preserve">Failure handling, rate / quota limits?</w:t>
            </w:r>
          </w:p>
        </w:tc>
        <w:tc>
          <w:tcPr>
            <w:tcW w:type="dxa" w:w="5520"/>
            <w:tcMar>
              <w:top w:type="dxa" w:w="60"/>
              <w:left w:type="dxa" w:w="110"/>
              <w:bottom w:type="dxa" w:w="60"/>
              <w:right w:type="dxa" w:w="110"/>
            </w:tcMar>
          </w:tcPr>
          <w:p>
            <w:pPr>
              <w:spacing w:after="20" w:line="250"/>
            </w:pPr>
            <w:r>
              <w:rPr>
                <w:sz w:val="19"/>
                <w:szCs w:val="19"/>
              </w:rPr>
              <w:t xml:space="preserve">Per-tool parameter validation and quotas; graceful decline + log on unsupported or out-of-scope requests.</w:t>
            </w:r>
          </w:p>
        </w:tc>
      </w:tr>
    </w:tbl>
    <w:p>
      <w:pPr>
        <w:pStyle w:val="Heading3"/>
        <w:spacing w:after="80" w:before="180"/>
      </w:pPr>
      <w:r>
        <w:rPr>
          <w:b/>
          <w:bCs/>
          <w:color w:val="2E5496"/>
          <w:sz w:val="22"/>
          <w:szCs w:val="22"/>
        </w:rPr>
        <w:t xml:space="preserve">Low-level (design-deep)</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3500"/>
        <w:gridCol w:w="5520"/>
      </w:tblGrid>
      <w:tr>
        <w:trPr>
          <w:tblHeader/>
        </w:trPr>
        <w:tc>
          <w:tcPr>
            <w:tcW w:type="dxa" w:w="3500"/>
            <w:shd w:fill="2E5496" w:color="auto" w:val="clear"/>
            <w:tcMar>
              <w:top w:type="dxa" w:w="60"/>
              <w:left w:type="dxa" w:w="110"/>
              <w:bottom w:type="dxa" w:w="60"/>
              <w:right w:type="dxa" w:w="110"/>
            </w:tcMar>
          </w:tcPr>
          <w:p>
            <w:pPr>
              <w:spacing w:after="40" w:line="250"/>
            </w:pPr>
            <w:r>
              <w:rPr>
                <w:b/>
                <w:bCs/>
                <w:color w:val="FFFFFF"/>
                <w:sz w:val="19"/>
                <w:szCs w:val="19"/>
              </w:rPr>
              <w:t xml:space="preserve">DARB design question</w:t>
            </w:r>
          </w:p>
        </w:tc>
        <w:tc>
          <w:tcPr>
            <w:tcW w:type="dxa" w:w="5520"/>
            <w:shd w:fill="2E5496" w:color="auto" w:val="clear"/>
            <w:tcMar>
              <w:top w:type="dxa" w:w="60"/>
              <w:left w:type="dxa" w:w="110"/>
              <w:bottom w:type="dxa" w:w="60"/>
              <w:right w:type="dxa" w:w="110"/>
            </w:tcMar>
          </w:tcPr>
          <w:p>
            <w:pPr>
              <w:spacing w:after="40" w:line="250"/>
            </w:pPr>
            <w:r>
              <w:rPr>
                <w:b/>
                <w:bCs/>
                <w:color w:val="FFFFFF"/>
                <w:sz w:val="19"/>
                <w:szCs w:val="19"/>
              </w:rPr>
              <w:t xml:space="preserve">Our design position</w:t>
            </w:r>
          </w:p>
        </w:tc>
      </w:tr>
      <w:tr>
        <w:tc>
          <w:tcPr>
            <w:tcW w:type="dxa" w:w="3500"/>
            <w:tcMar>
              <w:top w:type="dxa" w:w="60"/>
              <w:left w:type="dxa" w:w="110"/>
              <w:bottom w:type="dxa" w:w="60"/>
              <w:right w:type="dxa" w:w="110"/>
            </w:tcMar>
          </w:tcPr>
          <w:p>
            <w:pPr>
              <w:spacing w:after="20" w:line="248"/>
            </w:pPr>
            <w:r>
              <w:rPr>
                <w:b/>
                <w:bCs/>
                <w:color w:val="1F3864"/>
                <w:sz w:val="19"/>
                <w:szCs w:val="19"/>
              </w:rPr>
              <w:t xml:space="preserve">Transport &amp; topology</w:t>
            </w:r>
          </w:p>
        </w:tc>
        <w:tc>
          <w:tcPr>
            <w:tcW w:type="dxa" w:w="5520"/>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HTTP/SSE, internal. One service per domain, connection pooling.</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Server lifecycle</w:t>
            </w:r>
          </w:p>
        </w:tc>
        <w:tc>
          <w:tcPr>
            <w:tcW w:type="dxa" w:w="5520"/>
            <w:shd w:fill="F2F5FB" w:color="auto" w:val="clear"/>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Standard internal microservice — deployment, scaling, health-check, connection resilience as per platform norms.</w:t>
            </w:r>
          </w:p>
        </w:tc>
      </w:tr>
      <w:tr>
        <w:tc>
          <w:tcPr>
            <w:tcW w:type="dxa" w:w="3500"/>
            <w:tcMar>
              <w:top w:type="dxa" w:w="60"/>
              <w:left w:type="dxa" w:w="110"/>
              <w:bottom w:type="dxa" w:w="60"/>
              <w:right w:type="dxa" w:w="110"/>
            </w:tcMar>
          </w:tcPr>
          <w:p>
            <w:pPr>
              <w:spacing w:after="20" w:line="248"/>
            </w:pPr>
            <w:r>
              <w:rPr>
                <w:b/>
                <w:bCs/>
                <w:color w:val="1F3864"/>
                <w:sz w:val="19"/>
                <w:szCs w:val="19"/>
              </w:rPr>
              <w:t xml:space="preserve">Tool discovery &amp; schema versioning</w:t>
            </w:r>
          </w:p>
        </w:tc>
        <w:tc>
          <w:tcPr>
            <w:tcW w:type="dxa" w:w="5520"/>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MCP clients call tools/list on connect and self-discover.</w:t>
            </w:r>
          </w:p>
          <w:p>
            <w:pPr>
              <w:pStyle w:val="ListParagraph"/>
              <w:numPr>
                <w:ilvl w:val="0"/>
                <w:numId w:val="3"/>
              </w:numPr>
              <w:spacing w:after="30" w:line="244"/>
            </w:pPr>
            <w:r>
              <w:rPr>
                <w:color w:val="222222"/>
                <w:sz w:val="19"/>
                <w:szCs w:val="19"/>
              </w:rPr>
              <w:t xml:space="preserve">A registry / catalog of servers indexes the estate.</w:t>
            </w:r>
          </w:p>
          <w:p>
            <w:pPr>
              <w:pStyle w:val="ListParagraph"/>
              <w:numPr>
                <w:ilvl w:val="0"/>
                <w:numId w:val="3"/>
              </w:numPr>
              <w:spacing w:after="30" w:line="244"/>
            </w:pPr>
            <w:r>
              <w:rPr>
                <w:color w:val="222222"/>
                <w:sz w:val="19"/>
                <w:szCs w:val="19"/>
              </w:rPr>
              <w:t xml:space="preserve">Each product = one versioned tool contract; schema changes are backward-compatible.</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Auth architecture</w:t>
            </w:r>
          </w:p>
        </w:tc>
        <w:tc>
          <w:tcPr>
            <w:tcW w:type="dxa" w:w="5520"/>
            <w:shd w:fill="F2F5FB" w:color="auto" w:val="clear"/>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Token exchange: consumer’s user token validated, entitlement context derived.</w:t>
            </w:r>
          </w:p>
          <w:p>
            <w:pPr>
              <w:pStyle w:val="ListParagraph"/>
              <w:numPr>
                <w:ilvl w:val="0"/>
                <w:numId w:val="3"/>
              </w:numPr>
              <w:spacing w:after="30" w:line="244"/>
            </w:pPr>
            <w:r>
              <w:rPr>
                <w:color w:val="222222"/>
                <w:sz w:val="19"/>
                <w:szCs w:val="19"/>
              </w:rPr>
              <w:t xml:space="preserve">On-behalf-of, per-tool least privilege, refresh handled at the edge.</w:t>
            </w:r>
          </w:p>
        </w:tc>
      </w:tr>
      <w:tr>
        <w:tc>
          <w:tcPr>
            <w:tcW w:type="dxa" w:w="3500"/>
            <w:tcMar>
              <w:top w:type="dxa" w:w="60"/>
              <w:left w:type="dxa" w:w="110"/>
              <w:bottom w:type="dxa" w:w="60"/>
              <w:right w:type="dxa" w:w="110"/>
            </w:tcMar>
          </w:tcPr>
          <w:p>
            <w:pPr>
              <w:spacing w:after="20" w:line="248"/>
            </w:pPr>
            <w:r>
              <w:rPr>
                <w:b/>
                <w:bCs/>
                <w:color w:val="1F3864"/>
                <w:sz w:val="19"/>
                <w:szCs w:val="19"/>
              </w:rPr>
              <w:t xml:space="preserve">Data boundary (payload)</w:t>
            </w:r>
          </w:p>
        </w:tc>
        <w:tc>
          <w:tcPr>
            <w:tcW w:type="dxa" w:w="5520"/>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Exact payload = entitlement-filtered rows, typed serialization. No raw table access.</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Tool-response handling</w:t>
            </w:r>
          </w:p>
        </w:tc>
        <w:tc>
          <w:tcPr>
            <w:tcW w:type="dxa" w:w="5520"/>
            <w:shd w:fill="F2F5FB" w:color="auto" w:val="clear"/>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Schema enforcement + sanitisation. Fixed parameterised queries mean returned content cannot carry model instructions.</w:t>
            </w:r>
          </w:p>
        </w:tc>
      </w:tr>
      <w:tr>
        <w:tc>
          <w:tcPr>
            <w:tcW w:type="dxa" w:w="3500"/>
            <w:tcMar>
              <w:top w:type="dxa" w:w="60"/>
              <w:left w:type="dxa" w:w="110"/>
              <w:bottom w:type="dxa" w:w="60"/>
              <w:right w:type="dxa" w:w="110"/>
            </w:tcMar>
          </w:tcPr>
          <w:p>
            <w:pPr>
              <w:spacing w:after="20" w:line="248"/>
            </w:pPr>
            <w:r>
              <w:rPr>
                <w:b/>
                <w:bCs/>
                <w:color w:val="1F3864"/>
                <w:sz w:val="19"/>
                <w:szCs w:val="19"/>
              </w:rPr>
              <w:t xml:space="preserve">Error / timeout semantics</w:t>
            </w:r>
          </w:p>
        </w:tc>
        <w:tc>
          <w:tcPr>
            <w:tcW w:type="dxa" w:w="5520"/>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Per-tool retry; reads are naturally idempotent; quotas and timeouts per tool.</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Supply chain</w:t>
            </w:r>
          </w:p>
        </w:tc>
        <w:tc>
          <w:tcPr>
            <w:tcW w:type="dxa" w:w="5520"/>
            <w:shd w:fill="F2F5FB" w:color="auto" w:val="clear"/>
            <w:tcMar>
              <w:top w:type="dxa" w:w="60"/>
              <w:left w:type="dxa" w:w="110"/>
              <w:bottom w:type="dxa" w:w="60"/>
              <w:right w:type="dxa" w:w="110"/>
            </w:tcMar>
          </w:tcPr>
          <w:p>
            <w:pPr>
              <w:pStyle w:val="ListParagraph"/>
              <w:numPr>
                <w:ilvl w:val="0"/>
                <w:numId w:val="3"/>
              </w:numPr>
              <w:spacing w:after="30" w:line="244"/>
            </w:pPr>
            <w:r>
              <w:rPr>
                <w:color w:val="222222"/>
                <w:sz w:val="19"/>
                <w:szCs w:val="19"/>
              </w:rPr>
              <w:t xml:space="preserve">First-party servers; tool-schema version pinning and provenance.</w:t>
            </w:r>
          </w:p>
        </w:tc>
      </w:tr>
    </w:tbl>
    <w:p>
      <w:pPr>
        <w:pStyle w:val="Heading1"/>
        <w:spacing w:after="140" w:before="320"/>
      </w:pPr>
      <w:r>
        <w:rPr>
          <w:b/>
          <w:bCs/>
          <w:color w:val="1F3864"/>
          <w:sz w:val="30"/>
          <w:szCs w:val="30"/>
        </w:rPr>
        <w:t xml:space="preserve">8.  Entitlement model (cross-cutting)</w:t>
      </w:r>
    </w:p>
    <w:p>
      <w:pPr>
        <w:spacing w:after="120" w:line="264"/>
      </w:pPr>
      <w:r>
        <w:rPr>
          <w:b w:val="false"/>
          <w:bCs w:val="false"/>
          <w:i w:val="false"/>
          <w:iCs w:val="false"/>
          <w:color w:val="222222"/>
          <w:sz w:val="21"/>
          <w:szCs w:val="21"/>
        </w:rPr>
        <w:t xml:space="preserve">The entitlement filter is </w:t>
      </w:r>
      <w:r>
        <w:rPr>
          <w:b w:val="false"/>
          <w:bCs w:val="false"/>
          <w:i/>
          <w:iCs/>
          <w:color w:val="222222"/>
          <w:sz w:val="21"/>
          <w:szCs w:val="21"/>
        </w:rPr>
        <w:t xml:space="preserve">the</w:t>
      </w:r>
      <w:r>
        <w:rPr>
          <w:b w:val="false"/>
          <w:bCs w:val="false"/>
          <w:i w:val="false"/>
          <w:iCs w:val="false"/>
          <w:color w:val="222222"/>
          <w:sz w:val="21"/>
          <w:szCs w:val="21"/>
        </w:rPr>
        <w:t xml:space="preserve"> reason a governed data-product layer exists at all. Raw access cannot do per-consumer row security safely; this layer’s core value is enforcing it once, consistently, for every future consumer.</w:t>
      </w:r>
    </w:p>
    <w:p>
      <w:pPr>
        <w:pStyle w:val="Heading3"/>
        <w:spacing w:after="80" w:before="180"/>
      </w:pPr>
      <w:r>
        <w:rPr>
          <w:b/>
          <w:bCs/>
          <w:color w:val="2E5496"/>
          <w:sz w:val="22"/>
          <w:szCs w:val="22"/>
        </w:rPr>
        <w:t xml:space="preserve">The locked decision</w:t>
      </w:r>
    </w:p>
    <w:p>
      <w:pPr>
        <w:pStyle w:val="ListParagraph"/>
        <w:numPr>
          <w:ilvl w:val="0"/>
          <w:numId w:val="2"/>
        </w:numPr>
        <w:spacing w:after="70" w:line="258"/>
      </w:pPr>
      <w:r>
        <w:rPr>
          <w:b/>
          <w:bCs/>
          <w:i w:val="false"/>
          <w:iCs w:val="false"/>
          <w:color w:val="222222"/>
          <w:sz w:val="21"/>
          <w:szCs w:val="21"/>
        </w:rPr>
        <w:t xml:space="preserve">Edge / orchestration authenticates</w:t>
      </w:r>
      <w:r>
        <w:rPr>
          <w:b w:val="false"/>
          <w:bCs w:val="false"/>
          <w:i w:val="false"/>
          <w:iCs w:val="false"/>
          <w:color w:val="222222"/>
          <w:sz w:val="21"/>
          <w:szCs w:val="21"/>
        </w:rPr>
        <w:t xml:space="preserve"> — establishes who, mints the token. It is a convenient caller, never the security boundary.</w:t>
      </w:r>
    </w:p>
    <w:p>
      <w:pPr>
        <w:pStyle w:val="ListParagraph"/>
        <w:numPr>
          <w:ilvl w:val="0"/>
          <w:numId w:val="2"/>
        </w:numPr>
        <w:spacing w:after="70" w:line="258"/>
      </w:pPr>
      <w:r>
        <w:rPr>
          <w:b/>
          <w:bCs/>
          <w:i w:val="false"/>
          <w:iCs w:val="false"/>
          <w:color w:val="222222"/>
          <w:sz w:val="21"/>
          <w:szCs w:val="21"/>
        </w:rPr>
        <w:t xml:space="preserve">The token carries identity + claims</w:t>
      </w:r>
      <w:r>
        <w:rPr>
          <w:b w:val="false"/>
          <w:bCs w:val="false"/>
          <w:i w:val="false"/>
          <w:iCs w:val="false"/>
          <w:color w:val="222222"/>
          <w:sz w:val="21"/>
          <w:szCs w:val="21"/>
        </w:rPr>
        <w:t xml:space="preserve"> through every hop — MCP tool call or REST, same token.</w:t>
      </w:r>
    </w:p>
    <w:p>
      <w:pPr>
        <w:pStyle w:val="ListParagraph"/>
        <w:numPr>
          <w:ilvl w:val="0"/>
          <w:numId w:val="2"/>
        </w:numPr>
        <w:spacing w:after="70" w:line="258"/>
      </w:pPr>
      <w:r>
        <w:rPr>
          <w:b/>
          <w:bCs/>
          <w:i w:val="false"/>
          <w:iCs w:val="false"/>
          <w:color w:val="222222"/>
          <w:sz w:val="21"/>
          <w:szCs w:val="21"/>
        </w:rPr>
        <w:t xml:space="preserve">The serving layer authorizes</w:t>
      </w:r>
      <w:r>
        <w:rPr>
          <w:b w:val="false"/>
          <w:bCs w:val="false"/>
          <w:i w:val="false"/>
          <w:iCs w:val="false"/>
          <w:color w:val="222222"/>
          <w:sz w:val="21"/>
          <w:szCs w:val="21"/>
        </w:rPr>
        <w:t xml:space="preserve"> — reads the propagated identity and applies the entitlement filter on every pull. It never trusts that an upstream layer already filtered.</w:t>
      </w:r>
    </w:p>
    <w:p>
      <w:pPr>
        <w:pStyle w:val="ListParagraph"/>
        <w:numPr>
          <w:ilvl w:val="0"/>
          <w:numId w:val="2"/>
        </w:numPr>
        <w:spacing w:after="70" w:line="258"/>
      </w:pPr>
      <w:r>
        <w:rPr>
          <w:b/>
          <w:bCs/>
          <w:i w:val="false"/>
          <w:iCs w:val="false"/>
          <w:color w:val="222222"/>
          <w:sz w:val="21"/>
          <w:szCs w:val="21"/>
        </w:rPr>
        <w:t xml:space="preserve">Push the filter down to DB row-level security</w:t>
      </w:r>
      <w:r>
        <w:rPr>
          <w:b w:val="false"/>
          <w:bCs w:val="false"/>
          <w:i w:val="false"/>
          <w:iCs w:val="false"/>
          <w:color w:val="222222"/>
          <w:sz w:val="21"/>
          <w:szCs w:val="21"/>
        </w:rPr>
        <w:t xml:space="preserve"> where possible, so enforcement lives at the data, not in application code.</w:t>
      </w:r>
    </w:p>
    <w:p>
      <w:pPr>
        <w:pStyle w:val="ListParagraph"/>
        <w:numPr>
          <w:ilvl w:val="0"/>
          <w:numId w:val="2"/>
        </w:numPr>
        <w:spacing w:after="70" w:line="258"/>
      </w:pPr>
      <w:r>
        <w:rPr>
          <w:b/>
          <w:bCs/>
          <w:i w:val="false"/>
          <w:iCs w:val="false"/>
          <w:color w:val="222222"/>
          <w:sz w:val="21"/>
          <w:szCs w:val="21"/>
        </w:rPr>
        <w:t xml:space="preserve">Both faces enforce independently</w:t>
      </w:r>
      <w:r>
        <w:rPr>
          <w:b w:val="false"/>
          <w:bCs w:val="false"/>
          <w:i w:val="false"/>
          <w:iCs w:val="false"/>
          <w:color w:val="222222"/>
          <w:sz w:val="21"/>
          <w:szCs w:val="21"/>
        </w:rPr>
        <w:t xml:space="preserve"> — MCP and REST each authorize from the passed identity. “Available to anyone” stays safe because the filter sits in the shared layer, not in one orchestrator.</w:t>
      </w:r>
    </w:p>
    <w:p>
      <w:pPr>
        <w:spacing w:after="120" w:line="264"/>
      </w:pPr>
      <w:r>
        <w:rPr>
          <w:b/>
          <w:bCs/>
          <w:i w:val="false"/>
          <w:iCs w:val="false"/>
          <w:color w:val="222222"/>
          <w:sz w:val="21"/>
          <w:szCs w:val="21"/>
        </w:rPr>
        <w:t xml:space="preserve">Why edge-only enforcement is rejected: </w:t>
      </w:r>
      <w:r>
        <w:rPr>
          <w:b w:val="false"/>
          <w:bCs w:val="false"/>
          <w:i w:val="false"/>
          <w:iCs w:val="false"/>
          <w:color w:val="222222"/>
          <w:sz w:val="21"/>
          <w:szCs w:val="21"/>
        </w:rPr>
        <w:t xml:space="preserve">if entitlement lives only in one orchestrator, anyone who doesn’t go through it — another agent, a direct API call, a notebook, a future app — gets unfiltered data. A governed layer must filter itself, every time, regardless of caller. Authentication is at the edge; authorization is at the data.</w:t>
      </w:r>
    </w:p>
    <w:p>
      <w:pPr>
        <w:pStyle w:val="Heading3"/>
        <w:spacing w:after="80" w:before="180"/>
      </w:pPr>
      <w:r>
        <w:rPr>
          <w:b/>
          <w:bCs/>
          <w:color w:val="2E5496"/>
          <w:sz w:val="22"/>
          <w:szCs w:val="22"/>
        </w:rPr>
        <w:t xml:space="preserve">Design axes</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350"/>
        <w:gridCol w:w="6670"/>
      </w:tblGrid>
      <w:tr>
        <w:trPr>
          <w:tblHeader/>
        </w:trPr>
        <w:tc>
          <w:tcPr>
            <w:tcW w:type="dxa" w:w="2350"/>
            <w:shd w:fill="2E5496" w:color="auto" w:val="clear"/>
            <w:tcMar>
              <w:top w:type="dxa" w:w="60"/>
              <w:left w:type="dxa" w:w="110"/>
              <w:bottom w:type="dxa" w:w="60"/>
              <w:right w:type="dxa" w:w="110"/>
            </w:tcMar>
          </w:tcPr>
          <w:p>
            <w:pPr>
              <w:spacing w:after="40" w:line="250"/>
            </w:pPr>
            <w:r>
              <w:rPr>
                <w:b/>
                <w:bCs/>
                <w:color w:val="FFFFFF"/>
                <w:sz w:val="19"/>
                <w:szCs w:val="19"/>
              </w:rPr>
              <w:t xml:space="preserve">Axis</w:t>
            </w:r>
          </w:p>
        </w:tc>
        <w:tc>
          <w:tcPr>
            <w:tcW w:type="dxa" w:w="6670"/>
            <w:shd w:fill="2E5496" w:color="auto" w:val="clear"/>
            <w:tcMar>
              <w:top w:type="dxa" w:w="60"/>
              <w:left w:type="dxa" w:w="110"/>
              <w:bottom w:type="dxa" w:w="60"/>
              <w:right w:type="dxa" w:w="110"/>
            </w:tcMar>
          </w:tcPr>
          <w:p>
            <w:pPr>
              <w:spacing w:after="40" w:line="250"/>
            </w:pPr>
            <w:r>
              <w:rPr>
                <w:b/>
                <w:bCs/>
                <w:color w:val="FFFFFF"/>
                <w:sz w:val="19"/>
                <w:szCs w:val="19"/>
              </w:rPr>
              <w:t xml:space="preserve">Position / decision</w:t>
            </w:r>
          </w:p>
        </w:tc>
      </w:tr>
      <w:tr>
        <w:tc>
          <w:tcPr>
            <w:tcW w:type="dxa" w:w="2350"/>
            <w:tcMar>
              <w:top w:type="dxa" w:w="60"/>
              <w:left w:type="dxa" w:w="110"/>
              <w:bottom w:type="dxa" w:w="60"/>
              <w:right w:type="dxa" w:w="110"/>
            </w:tcMar>
          </w:tcPr>
          <w:p>
            <w:pPr>
              <w:spacing w:after="20" w:line="248"/>
            </w:pPr>
            <w:r>
              <w:rPr>
                <w:b/>
                <w:bCs/>
                <w:color w:val="1F3864"/>
                <w:sz w:val="19"/>
                <w:szCs w:val="19"/>
              </w:rPr>
              <w:t xml:space="preserve">Pre-filter vs post-filter</w:t>
            </w:r>
          </w:p>
        </w:tc>
        <w:tc>
          <w:tcPr>
            <w:tcW w:type="dxa" w:w="6670"/>
            <w:tcMar>
              <w:top w:type="dxa" w:w="60"/>
              <w:left w:type="dxa" w:w="110"/>
              <w:bottom w:type="dxa" w:w="60"/>
              <w:right w:type="dxa" w:w="110"/>
            </w:tcMar>
          </w:tcPr>
          <w:p>
            <w:pPr>
              <w:spacing w:after="20" w:line="248"/>
            </w:pPr>
            <w:r>
              <w:rPr>
                <w:b w:val="false"/>
                <w:bCs w:val="false"/>
                <w:color w:val="222222"/>
                <w:sz w:val="19"/>
                <w:szCs w:val="19"/>
              </w:rPr>
              <w:t xml:space="preserve">Pre-filter — predicate injected into the query so the DB never returns forbidden rows. Post-filter (fetch-all, drop in service) is leak-prone and rejected.</w:t>
            </w:r>
          </w:p>
        </w:tc>
      </w:tr>
      <w:tr>
        <w:tc>
          <w:tcPr>
            <w:tcW w:type="dxa" w:w="2350"/>
            <w:shd w:fill="F2F5FB" w:color="auto" w:val="clear"/>
            <w:tcMar>
              <w:top w:type="dxa" w:w="60"/>
              <w:left w:type="dxa" w:w="110"/>
              <w:bottom w:type="dxa" w:w="60"/>
              <w:right w:type="dxa" w:w="110"/>
            </w:tcMar>
          </w:tcPr>
          <w:p>
            <w:pPr>
              <w:spacing w:after="20" w:line="248"/>
            </w:pPr>
            <w:r>
              <w:rPr>
                <w:b/>
                <w:bCs/>
                <w:color w:val="1F3864"/>
                <w:sz w:val="19"/>
                <w:szCs w:val="19"/>
              </w:rPr>
              <w:t xml:space="preserve">Identity source (on-behalf-of)</w:t>
            </w:r>
          </w:p>
        </w:tc>
        <w:tc>
          <w:tcPr>
            <w:tcW w:type="dxa" w:w="667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Caller’s identity propagated end-to-end; token exchange derives entitlement context. Never a broad service account.</w:t>
            </w:r>
          </w:p>
        </w:tc>
      </w:tr>
      <w:tr>
        <w:tc>
          <w:tcPr>
            <w:tcW w:type="dxa" w:w="2350"/>
            <w:tcMar>
              <w:top w:type="dxa" w:w="60"/>
              <w:left w:type="dxa" w:w="110"/>
              <w:bottom w:type="dxa" w:w="60"/>
              <w:right w:type="dxa" w:w="110"/>
            </w:tcMar>
          </w:tcPr>
          <w:p>
            <w:pPr>
              <w:spacing w:after="20" w:line="248"/>
            </w:pPr>
            <w:r>
              <w:rPr>
                <w:b/>
                <w:bCs/>
                <w:color w:val="1F3864"/>
                <w:sz w:val="19"/>
                <w:szCs w:val="19"/>
              </w:rPr>
              <w:t xml:space="preserve">Entitlement source of truth</w:t>
            </w:r>
          </w:p>
        </w:tc>
        <w:tc>
          <w:tcPr>
            <w:tcW w:type="dxa" w:w="6670"/>
            <w:tcMar>
              <w:top w:type="dxa" w:w="60"/>
              <w:left w:type="dxa" w:w="110"/>
              <w:bottom w:type="dxa" w:w="60"/>
              <w:right w:type="dxa" w:w="110"/>
            </w:tcMar>
          </w:tcPr>
          <w:p>
            <w:pPr>
              <w:spacing w:after="20" w:line="248"/>
            </w:pPr>
            <w:r>
              <w:rPr>
                <w:b w:val="false"/>
                <w:bCs w:val="false"/>
                <w:color w:val="222222"/>
                <w:sz w:val="19"/>
                <w:szCs w:val="19"/>
              </w:rPr>
              <w:t xml:space="preserve">Consume the bank’s existing entitlements store (LDAP/AD groups / policy engine). Do not build a parallel one.</w:t>
            </w:r>
          </w:p>
        </w:tc>
      </w:tr>
      <w:tr>
        <w:tc>
          <w:tcPr>
            <w:tcW w:type="dxa" w:w="2350"/>
            <w:shd w:fill="F2F5FB" w:color="auto" w:val="clear"/>
            <w:tcMar>
              <w:top w:type="dxa" w:w="60"/>
              <w:left w:type="dxa" w:w="110"/>
              <w:bottom w:type="dxa" w:w="60"/>
              <w:right w:type="dxa" w:w="110"/>
            </w:tcMar>
          </w:tcPr>
          <w:p>
            <w:pPr>
              <w:spacing w:after="20" w:line="248"/>
            </w:pPr>
            <w:r>
              <w:rPr>
                <w:b/>
                <w:bCs/>
                <w:color w:val="1F3864"/>
                <w:sz w:val="19"/>
                <w:szCs w:val="19"/>
              </w:rPr>
              <w:t xml:space="preserve">Binding mechanism</w:t>
            </w:r>
          </w:p>
        </w:tc>
        <w:tc>
          <w:tcPr>
            <w:tcW w:type="dxa" w:w="667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Prefer DB-native row-level security (session context per request). Alternatives: parameterised view, or filter in the access service (most flexible, must be airtight). Push-down = safer + faster.</w:t>
            </w:r>
          </w:p>
        </w:tc>
      </w:tr>
      <w:tr>
        <w:tc>
          <w:tcPr>
            <w:tcW w:type="dxa" w:w="2350"/>
            <w:tcMar>
              <w:top w:type="dxa" w:w="60"/>
              <w:left w:type="dxa" w:w="110"/>
              <w:bottom w:type="dxa" w:w="60"/>
              <w:right w:type="dxa" w:w="110"/>
            </w:tcMar>
          </w:tcPr>
          <w:p>
            <w:pPr>
              <w:spacing w:after="20" w:line="248"/>
            </w:pPr>
            <w:r>
              <w:rPr>
                <w:b/>
                <w:bCs/>
                <w:color w:val="1F3864"/>
                <w:sz w:val="19"/>
                <w:szCs w:val="19"/>
              </w:rPr>
              <w:t xml:space="preserve">Static vs dynamic</w:t>
            </w:r>
          </w:p>
        </w:tc>
        <w:tc>
          <w:tcPr>
            <w:tcW w:type="dxa" w:w="6670"/>
            <w:tcMar>
              <w:top w:type="dxa" w:w="60"/>
              <w:left w:type="dxa" w:w="110"/>
              <w:bottom w:type="dxa" w:w="60"/>
              <w:right w:type="dxa" w:w="110"/>
            </w:tcMar>
          </w:tcPr>
          <w:p>
            <w:pPr>
              <w:spacing w:after="20" w:line="248"/>
            </w:pPr>
            <w:r>
              <w:rPr>
                <w:b w:val="false"/>
                <w:bCs w:val="false"/>
                <w:color w:val="222222"/>
                <w:sz w:val="19"/>
                <w:szCs w:val="19"/>
              </w:rPr>
              <w:t xml:space="preserve">If desk/book permissions change intraday, cached claims go stale → decide TTL &amp; refresh. If static, cache in token. (Open — see §10.)</w:t>
            </w:r>
          </w:p>
        </w:tc>
      </w:tr>
      <w:tr>
        <w:tc>
          <w:tcPr>
            <w:tcW w:type="dxa" w:w="2350"/>
            <w:shd w:fill="F2F5FB" w:color="auto" w:val="clear"/>
            <w:tcMar>
              <w:top w:type="dxa" w:w="60"/>
              <w:left w:type="dxa" w:w="110"/>
              <w:bottom w:type="dxa" w:w="60"/>
              <w:right w:type="dxa" w:w="110"/>
            </w:tcMar>
          </w:tcPr>
          <w:p>
            <w:pPr>
              <w:spacing w:after="20" w:line="248"/>
            </w:pPr>
            <w:r>
              <w:rPr>
                <w:b/>
                <w:bCs/>
                <w:color w:val="1F3864"/>
                <w:sz w:val="19"/>
                <w:szCs w:val="19"/>
              </w:rPr>
              <w:t xml:space="preserve">Column masking</w:t>
            </w:r>
          </w:p>
        </w:tc>
        <w:tc>
          <w:tcPr>
            <w:tcW w:type="dxa" w:w="667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Omit &gt; mask &gt; null. Omitted is safest (consumer can’t tell a field exists); masking preserves schema shape. Decide per sensitive column.</w:t>
            </w:r>
          </w:p>
        </w:tc>
      </w:tr>
      <w:tr>
        <w:tc>
          <w:tcPr>
            <w:tcW w:type="dxa" w:w="2350"/>
            <w:tcMar>
              <w:top w:type="dxa" w:w="60"/>
              <w:left w:type="dxa" w:w="110"/>
              <w:bottom w:type="dxa" w:w="60"/>
              <w:right w:type="dxa" w:w="110"/>
            </w:tcMar>
          </w:tcPr>
          <w:p>
            <w:pPr>
              <w:spacing w:after="20" w:line="248"/>
            </w:pPr>
            <w:r>
              <w:rPr>
                <w:b/>
                <w:bCs/>
                <w:color w:val="1F3864"/>
                <w:sz w:val="19"/>
                <w:szCs w:val="19"/>
              </w:rPr>
              <w:t xml:space="preserve">Cache keys</w:t>
            </w:r>
          </w:p>
        </w:tc>
        <w:tc>
          <w:tcPr>
            <w:tcW w:type="dxa" w:w="6670"/>
            <w:tcMar>
              <w:top w:type="dxa" w:w="60"/>
              <w:left w:type="dxa" w:w="110"/>
              <w:bottom w:type="dxa" w:w="60"/>
              <w:right w:type="dxa" w:w="110"/>
            </w:tcMar>
          </w:tcPr>
          <w:p>
            <w:pPr>
              <w:spacing w:after="20" w:line="248"/>
            </w:pPr>
            <w:r>
              <w:rPr>
                <w:b w:val="false"/>
                <w:bCs w:val="false"/>
                <w:color w:val="222222"/>
                <w:sz w:val="19"/>
                <w:szCs w:val="19"/>
              </w:rPr>
              <w:t xml:space="preserve">Entitlement context MUST be part of any cache key, or User A gets User B’s cached rows — a classic serving-layer breach. Entitlement-aware caching, or no caching of row data.</w:t>
            </w:r>
          </w:p>
        </w:tc>
      </w:tr>
      <w:tr>
        <w:tc>
          <w:tcPr>
            <w:tcW w:type="dxa" w:w="2350"/>
            <w:shd w:fill="F2F5FB" w:color="auto" w:val="clear"/>
            <w:tcMar>
              <w:top w:type="dxa" w:w="60"/>
              <w:left w:type="dxa" w:w="110"/>
              <w:bottom w:type="dxa" w:w="60"/>
              <w:right w:type="dxa" w:w="110"/>
            </w:tcMar>
          </w:tcPr>
          <w:p>
            <w:pPr>
              <w:spacing w:after="20" w:line="248"/>
            </w:pPr>
            <w:r>
              <w:rPr>
                <w:b/>
                <w:bCs/>
                <w:color w:val="1F3864"/>
                <w:sz w:val="19"/>
                <w:szCs w:val="19"/>
              </w:rPr>
              <w:t xml:space="preserve">Aggregation leakage</w:t>
            </w:r>
          </w:p>
        </w:tc>
        <w:tc>
          <w:tcPr>
            <w:tcW w:type="dxa" w:w="667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For aggregate-only products, small-cell suppression to stop inference by differencing two aggregates.</w:t>
            </w:r>
          </w:p>
        </w:tc>
      </w:tr>
      <w:tr>
        <w:tc>
          <w:tcPr>
            <w:tcW w:type="dxa" w:w="2350"/>
            <w:tcMar>
              <w:top w:type="dxa" w:w="60"/>
              <w:left w:type="dxa" w:w="110"/>
              <w:bottom w:type="dxa" w:w="60"/>
              <w:right w:type="dxa" w:w="110"/>
            </w:tcMar>
          </w:tcPr>
          <w:p>
            <w:pPr>
              <w:spacing w:after="20" w:line="248"/>
            </w:pPr>
            <w:r>
              <w:rPr>
                <w:b/>
                <w:bCs/>
                <w:color w:val="1F3864"/>
                <w:sz w:val="19"/>
                <w:szCs w:val="19"/>
              </w:rPr>
              <w:t xml:space="preserve">Audit</w:t>
            </w:r>
          </w:p>
        </w:tc>
        <w:tc>
          <w:tcPr>
            <w:tcW w:type="dxa" w:w="6670"/>
            <w:tcMar>
              <w:top w:type="dxa" w:w="60"/>
              <w:left w:type="dxa" w:w="110"/>
              <w:bottom w:type="dxa" w:w="60"/>
              <w:right w:type="dxa" w:w="110"/>
            </w:tcMar>
          </w:tcPr>
          <w:p>
            <w:pPr>
              <w:spacing w:after="20" w:line="248"/>
            </w:pPr>
            <w:r>
              <w:rPr>
                <w:b w:val="false"/>
                <w:bCs w:val="false"/>
                <w:color w:val="222222"/>
                <w:sz w:val="19"/>
                <w:szCs w:val="19"/>
              </w:rPr>
              <w:t xml:space="preserve">Every access logged at the filter — who, what filter, what returned. Sits at the filter, not the edge.</w:t>
            </w:r>
          </w:p>
        </w:tc>
      </w:tr>
    </w:tbl>
    <w:p>
      <w:r>
        <w:br w:type="page"/>
      </w:r>
    </w:p>
    <w:p>
      <w:pPr>
        <w:pStyle w:val="Heading1"/>
        <w:spacing w:after="140" w:before="320"/>
      </w:pPr>
      <w:r>
        <w:rPr>
          <w:b/>
          <w:bCs/>
          <w:color w:val="1F3864"/>
          <w:sz w:val="30"/>
          <w:szCs w:val="30"/>
        </w:rPr>
        <w:t xml:space="preserve">9.  Data semantics and non-functionals</w:t>
      </w:r>
    </w:p>
    <w:p>
      <w:pPr>
        <w:spacing w:after="120" w:line="264"/>
      </w:pPr>
      <w:r>
        <w:rPr>
          <w:color w:val="222222"/>
          <w:sz w:val="21"/>
          <w:szCs w:val="21"/>
        </w:rPr>
        <w:t xml:space="preserve">Design considerations surfaced in review that the sections above do not yet cover. The first three are firm recommendations to fold into the product contract and access service; the remainder are guardrails to state explicitly.</w:t>
      </w:r>
    </w:p>
    <w:p>
      <w:pPr>
        <w:pStyle w:val="Heading3"/>
        <w:spacing w:after="80" w:before="180"/>
      </w:pPr>
      <w:r>
        <w:rPr>
          <w:b/>
          <w:bCs/>
          <w:color w:val="2E5496"/>
          <w:sz w:val="22"/>
          <w:szCs w:val="22"/>
        </w:rPr>
        <w:t xml:space="preserve">Recommendations to fold in</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20"/>
      </w:tblGrid>
      <w:tr>
        <w:trPr>
          <w:tblHeader/>
        </w:trPr>
        <w:tc>
          <w:tcPr>
            <w:tcW w:type="dxa" w:w="2600"/>
            <w:shd w:fill="2E5496" w:color="auto" w:val="clear"/>
            <w:tcMar>
              <w:top w:type="dxa" w:w="60"/>
              <w:left w:type="dxa" w:w="110"/>
              <w:bottom w:type="dxa" w:w="60"/>
              <w:right w:type="dxa" w:w="110"/>
            </w:tcMar>
          </w:tcPr>
          <w:p>
            <w:pPr>
              <w:spacing w:after="40" w:line="250"/>
            </w:pPr>
            <w:r>
              <w:rPr>
                <w:b/>
                <w:bCs/>
                <w:color w:val="FFFFFF"/>
                <w:sz w:val="19"/>
                <w:szCs w:val="19"/>
              </w:rPr>
              <w:t xml:space="preserve">Consideration</w:t>
            </w:r>
          </w:p>
        </w:tc>
        <w:tc>
          <w:tcPr>
            <w:tcW w:type="dxa" w:w="6420"/>
            <w:shd w:fill="2E5496" w:color="auto" w:val="clear"/>
            <w:tcMar>
              <w:top w:type="dxa" w:w="60"/>
              <w:left w:type="dxa" w:w="110"/>
              <w:bottom w:type="dxa" w:w="60"/>
              <w:right w:type="dxa" w:w="110"/>
            </w:tcMar>
          </w:tcPr>
          <w:p>
            <w:pPr>
              <w:spacing w:after="40" w:line="250"/>
            </w:pPr>
            <w:r>
              <w:rPr>
                <w:b/>
                <w:bCs/>
                <w:color w:val="FFFFFF"/>
                <w:sz w:val="19"/>
                <w:szCs w:val="19"/>
              </w:rPr>
              <w:t xml:space="preserve">Recommendation</w:t>
            </w:r>
          </w:p>
        </w:tc>
      </w:tr>
      <w:tr>
        <w:tc>
          <w:tcPr>
            <w:tcW w:type="dxa" w:w="2600"/>
            <w:tcMar>
              <w:top w:type="dxa" w:w="60"/>
              <w:left w:type="dxa" w:w="110"/>
              <w:bottom w:type="dxa" w:w="60"/>
              <w:right w:type="dxa" w:w="110"/>
            </w:tcMar>
          </w:tcPr>
          <w:p>
            <w:pPr>
              <w:spacing w:after="20" w:line="248"/>
            </w:pPr>
            <w:r>
              <w:rPr>
                <w:b/>
                <w:bCs/>
                <w:color w:val="1F3864"/>
                <w:sz w:val="19"/>
                <w:szCs w:val="19"/>
              </w:rPr>
              <w:t xml:space="preserve">Bitemporal / as-of behaviour</w:t>
            </w:r>
          </w:p>
        </w:tc>
        <w:tc>
          <w:tcPr>
            <w:tcW w:type="dxa" w:w="6420"/>
            <w:tcMar>
              <w:top w:type="dxa" w:w="60"/>
              <w:left w:type="dxa" w:w="110"/>
              <w:bottom w:type="dxa" w:w="60"/>
              <w:right w:type="dxa" w:w="110"/>
            </w:tcMar>
          </w:tcPr>
          <w:p>
            <w:pPr>
              <w:spacing w:after="20" w:line="248"/>
            </w:pPr>
            <w:r>
              <w:rPr>
                <w:b w:val="false"/>
                <w:bCs w:val="false"/>
                <w:color w:val="222222"/>
                <w:sz w:val="19"/>
                <w:szCs w:val="19"/>
              </w:rPr>
              <w:t xml:space="preserve">Every tool takes an as-of date and serves from bitemporal views (valid-time + recorded-time), so a consumer can ask both “as reported at quarter-end” and “as we now know it”. Regulated numbers require this; it is currently named in the contract but not designed. The single biggest gap.</w:t>
            </w:r>
          </w:p>
        </w:tc>
      </w:tr>
      <w:tr>
        <w:tc>
          <w:tcPr>
            <w:tcW w:type="dxa" w:w="2600"/>
            <w:shd w:fill="F2F5FB" w:color="auto" w:val="clear"/>
            <w:tcMar>
              <w:top w:type="dxa" w:w="60"/>
              <w:left w:type="dxa" w:w="110"/>
              <w:bottom w:type="dxa" w:w="60"/>
              <w:right w:type="dxa" w:w="110"/>
            </w:tcMar>
          </w:tcPr>
          <w:p>
            <w:pPr>
              <w:spacing w:after="20" w:line="248"/>
            </w:pPr>
            <w:r>
              <w:rPr>
                <w:b/>
                <w:bCs/>
                <w:color w:val="1F3864"/>
                <w:sz w:val="19"/>
                <w:szCs w:val="19"/>
              </w:rPr>
              <w:t xml:space="preserve">Definition versioning ≠ schema versioning</w:t>
            </w:r>
          </w:p>
        </w:tc>
        <w:tc>
          <w:tcPr>
            <w:tcW w:type="dxa" w:w="64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A changed business definition (e.g. the exposure formula) is the same schema with a different meaning — schema versioning will not catch it. Carry an effective-dated definition version that travels with every number.</w:t>
            </w:r>
          </w:p>
        </w:tc>
      </w:tr>
      <w:tr>
        <w:tc>
          <w:tcPr>
            <w:tcW w:type="dxa" w:w="2600"/>
            <w:tcMar>
              <w:top w:type="dxa" w:w="60"/>
              <w:left w:type="dxa" w:w="110"/>
              <w:bottom w:type="dxa" w:w="60"/>
              <w:right w:type="dxa" w:w="110"/>
            </w:tcMar>
          </w:tcPr>
          <w:p>
            <w:pPr>
              <w:spacing w:after="20" w:line="248"/>
            </w:pPr>
            <w:r>
              <w:rPr>
                <w:b/>
                <w:bCs/>
                <w:color w:val="1F3864"/>
                <w:sz w:val="19"/>
                <w:szCs w:val="19"/>
              </w:rPr>
              <w:t xml:space="preserve">Freshness envelope</w:t>
            </w:r>
          </w:p>
        </w:tc>
        <w:tc>
          <w:tcPr>
            <w:tcW w:type="dxa" w:w="6420"/>
            <w:tcMar>
              <w:top w:type="dxa" w:w="60"/>
              <w:left w:type="dxa" w:w="110"/>
              <w:bottom w:type="dxa" w:w="60"/>
              <w:right w:type="dxa" w:w="110"/>
            </w:tcMar>
          </w:tcPr>
          <w:p>
            <w:pPr>
              <w:spacing w:after="20" w:line="248"/>
            </w:pPr>
            <w:r>
              <w:rPr>
                <w:b w:val="false"/>
                <w:bCs w:val="false"/>
                <w:color w:val="222222"/>
                <w:sz w:val="19"/>
                <w:szCs w:val="19"/>
              </w:rPr>
              <w:t xml:space="preserve">Return an as-of timestamp, load / completeness status and definition version with every result — never a bare number. This operationalises “always return the definition with the number”.</w:t>
            </w:r>
          </w:p>
        </w:tc>
      </w:tr>
      <w:tr>
        <w:tc>
          <w:tcPr>
            <w:tcW w:type="dxa" w:w="2600"/>
            <w:shd w:fill="F2F5FB" w:color="auto" w:val="clear"/>
            <w:tcMar>
              <w:top w:type="dxa" w:w="60"/>
              <w:left w:type="dxa" w:w="110"/>
              <w:bottom w:type="dxa" w:w="60"/>
              <w:right w:type="dxa" w:w="110"/>
            </w:tcMar>
          </w:tcPr>
          <w:p>
            <w:pPr>
              <w:spacing w:after="20" w:line="248"/>
            </w:pPr>
            <w:r>
              <w:rPr>
                <w:b/>
                <w:bCs/>
                <w:color w:val="1F3864"/>
                <w:sz w:val="19"/>
                <w:szCs w:val="19"/>
              </w:rPr>
              <w:t xml:space="preserve">Non-functionals</w:t>
            </w:r>
          </w:p>
        </w:tc>
        <w:tc>
          <w:tcPr>
            <w:tcW w:type="dxa" w:w="64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State an SLA / latency target per product, a concurrency model, and query-cost governance (timeouts, result-size caps). Virtualise-by-default has real cost: a heavy live aggregate over the star schema is slow and is a candidate to materialise.</w:t>
            </w:r>
          </w:p>
        </w:tc>
      </w:tr>
    </w:tbl>
    <w:p>
      <w:pPr>
        <w:pStyle w:val="Heading3"/>
        <w:spacing w:after="80" w:before="180"/>
      </w:pPr>
      <w:r>
        <w:rPr>
          <w:b/>
          <w:bCs/>
          <w:color w:val="2E5496"/>
          <w:sz w:val="22"/>
          <w:szCs w:val="22"/>
        </w:rPr>
        <w:t xml:space="preserve">Guardrails to state</w:t>
      </w:r>
    </w:p>
    <w:p>
      <w:pPr>
        <w:pStyle w:val="ListParagraph"/>
        <w:numPr>
          <w:ilvl w:val="0"/>
          <w:numId w:val="2"/>
        </w:numPr>
        <w:spacing w:after="70" w:line="258"/>
      </w:pPr>
      <w:r>
        <w:rPr>
          <w:b/>
          <w:bCs/>
          <w:i w:val="false"/>
          <w:iCs w:val="false"/>
          <w:color w:val="222222"/>
          <w:sz w:val="21"/>
          <w:szCs w:val="21"/>
        </w:rPr>
        <w:t xml:space="preserve">Error taxonomy &amp; existence disclosure. </w:t>
      </w:r>
      <w:r>
        <w:rPr>
          <w:b w:val="false"/>
          <w:bCs w:val="false"/>
          <w:i w:val="false"/>
          <w:iCs w:val="false"/>
          <w:color w:val="222222"/>
          <w:sz w:val="21"/>
          <w:szCs w:val="21"/>
        </w:rPr>
        <w:t xml:space="preserve">Distinguish “entitlement denies all rows” from “no data”, without leaking to an unentitled caller that an entity exists.</w:t>
      </w:r>
    </w:p>
    <w:p>
      <w:pPr>
        <w:pStyle w:val="ListParagraph"/>
        <w:numPr>
          <w:ilvl w:val="0"/>
          <w:numId w:val="2"/>
        </w:numPr>
        <w:spacing w:after="70" w:line="258"/>
      </w:pPr>
      <w:r>
        <w:rPr>
          <w:b/>
          <w:bCs/>
          <w:i w:val="false"/>
          <w:iCs w:val="false"/>
          <w:color w:val="222222"/>
          <w:sz w:val="21"/>
          <w:szCs w:val="21"/>
        </w:rPr>
        <w:t xml:space="preserve">Entity resolution at the input. </w:t>
      </w:r>
      <w:r>
        <w:rPr>
          <w:b w:val="false"/>
          <w:bCs w:val="false"/>
          <w:i w:val="false"/>
          <w:iCs w:val="false"/>
          <w:color w:val="222222"/>
          <w:sz w:val="21"/>
          <w:szCs w:val="21"/>
        </w:rPr>
        <w:t xml:space="preserve">Point lookups take a canonical key / LEI, or include an explicit resolve step — never resolve an ambiguous counterparty name silently.</w:t>
      </w:r>
    </w:p>
    <w:p>
      <w:pPr>
        <w:pStyle w:val="ListParagraph"/>
        <w:numPr>
          <w:ilvl w:val="0"/>
          <w:numId w:val="2"/>
        </w:numPr>
        <w:spacing w:after="70" w:line="258"/>
      </w:pPr>
      <w:r>
        <w:rPr>
          <w:b/>
          <w:bCs/>
          <w:i w:val="false"/>
          <w:iCs w:val="false"/>
          <w:color w:val="222222"/>
          <w:sz w:val="21"/>
          <w:szCs w:val="21"/>
        </w:rPr>
        <w:t xml:space="preserve">Cross-domain composition. </w:t>
      </w:r>
      <w:r>
        <w:rPr>
          <w:b w:val="false"/>
          <w:bCs w:val="false"/>
          <w:i w:val="false"/>
          <w:iCs w:val="false"/>
          <w:color w:val="222222"/>
          <w:sz w:val="21"/>
          <w:szCs w:val="21"/>
        </w:rPr>
        <w:t xml:space="preserve">Tools must return genuinely conformed dimension keys so a consumer can join, say, Credit Risk × Finance products across two servers. Define who joins and on what key.</w:t>
      </w:r>
    </w:p>
    <w:p>
      <w:pPr>
        <w:pStyle w:val="ListParagraph"/>
        <w:numPr>
          <w:ilvl w:val="0"/>
          <w:numId w:val="2"/>
        </w:numPr>
        <w:spacing w:after="70" w:line="258"/>
      </w:pPr>
      <w:r>
        <w:rPr>
          <w:b/>
          <w:bCs/>
          <w:i w:val="false"/>
          <w:iCs w:val="false"/>
          <w:color w:val="222222"/>
          <w:sz w:val="21"/>
          <w:szCs w:val="21"/>
        </w:rPr>
        <w:t xml:space="preserve">Certification gate. </w:t>
      </w:r>
      <w:r>
        <w:rPr>
          <w:b w:val="false"/>
          <w:bCs w:val="false"/>
          <w:i w:val="false"/>
          <w:iCs w:val="false"/>
          <w:color w:val="222222"/>
          <w:sz w:val="21"/>
          <w:szCs w:val="21"/>
        </w:rPr>
        <w:t xml:space="preserve">Define what “certified” requires: reconciliation to golden + DQ contract + entitlement test + regression on every schema or definition change.</w:t>
      </w:r>
    </w:p>
    <w:p>
      <w:pPr>
        <w:pStyle w:val="ListParagraph"/>
        <w:numPr>
          <w:ilvl w:val="0"/>
          <w:numId w:val="2"/>
        </w:numPr>
        <w:spacing w:after="70" w:line="258"/>
      </w:pPr>
      <w:r>
        <w:rPr>
          <w:b/>
          <w:bCs/>
          <w:i w:val="false"/>
          <w:iCs w:val="false"/>
          <w:color w:val="222222"/>
          <w:sz w:val="21"/>
          <w:szCs w:val="21"/>
        </w:rPr>
        <w:t xml:space="preserve">Usage telemetry. </w:t>
      </w:r>
      <w:r>
        <w:rPr>
          <w:b w:val="false"/>
          <w:bCs w:val="false"/>
          <w:i w:val="false"/>
          <w:iCs w:val="false"/>
          <w:color w:val="222222"/>
          <w:sz w:val="21"/>
          <w:szCs w:val="21"/>
        </w:rPr>
        <w:t xml:space="preserve">Tool-level usage / latency / error metrics drive what to materialise, what to deprecate, and the decline-and-log backlog — distinct from the entitlement audit.</w:t>
      </w:r>
    </w:p>
    <w:p>
      <w:pPr>
        <w:pStyle w:val="ListParagraph"/>
        <w:numPr>
          <w:ilvl w:val="0"/>
          <w:numId w:val="2"/>
        </w:numPr>
        <w:spacing w:after="70" w:line="258"/>
      </w:pPr>
      <w:r>
        <w:rPr>
          <w:b/>
          <w:bCs/>
          <w:i w:val="false"/>
          <w:iCs w:val="false"/>
          <w:color w:val="222222"/>
          <w:sz w:val="21"/>
          <w:szCs w:val="21"/>
        </w:rPr>
        <w:t xml:space="preserve">Read-only stance. </w:t>
      </w:r>
      <w:r>
        <w:rPr>
          <w:b w:val="false"/>
          <w:bCs w:val="false"/>
          <w:i w:val="false"/>
          <w:iCs w:val="false"/>
          <w:color w:val="222222"/>
          <w:sz w:val="21"/>
          <w:szCs w:val="21"/>
        </w:rPr>
        <w:t xml:space="preserve">Corrections flow to source, never through this layer. State it explicitly.</w:t>
      </w:r>
    </w:p>
    <w:p>
      <w:r>
        <w:br w:type="page"/>
      </w:r>
    </w:p>
    <w:p>
      <w:pPr>
        <w:pStyle w:val="Heading1"/>
        <w:spacing w:after="140" w:before="320"/>
      </w:pPr>
      <w:r>
        <w:rPr>
          <w:b/>
          <w:bCs/>
          <w:color w:val="1F3864"/>
          <w:sz w:val="30"/>
          <w:szCs w:val="30"/>
        </w:rPr>
        <w:t xml:space="preserve">10.  RAG and Router — boundary patterns</w:t>
      </w:r>
    </w:p>
    <w:p>
      <w:pPr>
        <w:pStyle w:val="Heading3"/>
        <w:spacing w:after="80" w:before="180"/>
      </w:pPr>
      <w:r>
        <w:rPr>
          <w:b/>
          <w:bCs/>
          <w:color w:val="2E5496"/>
          <w:sz w:val="22"/>
          <w:szCs w:val="22"/>
        </w:rPr>
        <w:t xml:space="preserve">RAG (unstructured only)</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3500"/>
        <w:gridCol w:w="5520"/>
      </w:tblGrid>
      <w:tr>
        <w:trPr>
          <w:tblHeader/>
        </w:trPr>
        <w:tc>
          <w:tcPr>
            <w:tcW w:type="dxa" w:w="3500"/>
            <w:shd w:fill="2E5496" w:color="auto" w:val="clear"/>
            <w:tcMar>
              <w:top w:type="dxa" w:w="60"/>
              <w:left w:type="dxa" w:w="110"/>
              <w:bottom w:type="dxa" w:w="60"/>
              <w:right w:type="dxa" w:w="110"/>
            </w:tcMar>
          </w:tcPr>
          <w:p>
            <w:pPr>
              <w:spacing w:after="40" w:line="250"/>
            </w:pPr>
            <w:r>
              <w:rPr>
                <w:b/>
                <w:bCs/>
                <w:color w:val="FFFFFF"/>
                <w:sz w:val="19"/>
                <w:szCs w:val="19"/>
              </w:rPr>
              <w:t xml:space="preserve">DARB design question</w:t>
            </w:r>
          </w:p>
        </w:tc>
        <w:tc>
          <w:tcPr>
            <w:tcW w:type="dxa" w:w="5520"/>
            <w:shd w:fill="2E5496" w:color="auto" w:val="clear"/>
            <w:tcMar>
              <w:top w:type="dxa" w:w="60"/>
              <w:left w:type="dxa" w:w="110"/>
              <w:bottom w:type="dxa" w:w="60"/>
              <w:right w:type="dxa" w:w="110"/>
            </w:tcMar>
          </w:tcPr>
          <w:p>
            <w:pPr>
              <w:spacing w:after="40" w:line="250"/>
            </w:pPr>
            <w:r>
              <w:rPr>
                <w:b/>
                <w:bCs/>
                <w:color w:val="FFFFFF"/>
                <w:sz w:val="19"/>
                <w:szCs w:val="19"/>
              </w:rPr>
              <w:t xml:space="preserve">Our design position</w:t>
            </w:r>
          </w:p>
        </w:tc>
      </w:tr>
      <w:tr>
        <w:tc>
          <w:tcPr>
            <w:tcW w:type="dxa" w:w="3500"/>
            <w:tcMar>
              <w:top w:type="dxa" w:w="60"/>
              <w:left w:type="dxa" w:w="110"/>
              <w:bottom w:type="dxa" w:w="60"/>
              <w:right w:type="dxa" w:w="110"/>
            </w:tcMar>
          </w:tcPr>
          <w:p>
            <w:pPr>
              <w:spacing w:after="20" w:line="248"/>
            </w:pPr>
            <w:r>
              <w:rPr>
                <w:b/>
                <w:bCs/>
                <w:color w:val="1F3864"/>
                <w:sz w:val="19"/>
                <w:szCs w:val="19"/>
              </w:rPr>
              <w:t xml:space="preserve">Where does RAG apply?</w:t>
            </w:r>
          </w:p>
        </w:tc>
        <w:tc>
          <w:tcPr>
            <w:tcW w:type="dxa" w:w="5520"/>
            <w:tcMar>
              <w:top w:type="dxa" w:w="60"/>
              <w:left w:type="dxa" w:w="110"/>
              <w:bottom w:type="dxa" w:w="60"/>
              <w:right w:type="dxa" w:w="110"/>
            </w:tcMar>
          </w:tcPr>
          <w:p>
            <w:pPr>
              <w:spacing w:after="20" w:line="250"/>
            </w:pPr>
            <w:r>
              <w:rPr>
                <w:sz w:val="19"/>
                <w:szCs w:val="19"/>
              </w:rPr>
              <w:t xml:space="preserve">Unstructured content only — policies, documents, narrative. Never the star schema. Structured / numeric questions route to deterministic tools; mixing the two quietly breaks reconcilable numbers.</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Entitlement enforcement (pre vs post-filter)</w:t>
            </w:r>
          </w:p>
        </w:tc>
        <w:tc>
          <w:tcPr>
            <w:tcW w:type="dxa" w:w="5520"/>
            <w:shd w:fill="F2F5FB" w:color="auto" w:val="clear"/>
            <w:tcMar>
              <w:top w:type="dxa" w:w="60"/>
              <w:left w:type="dxa" w:w="110"/>
              <w:bottom w:type="dxa" w:w="60"/>
              <w:right w:type="dxa" w:w="110"/>
            </w:tcMar>
          </w:tcPr>
          <w:p>
            <w:pPr>
              <w:spacing w:after="20" w:line="250"/>
            </w:pPr>
            <w:r>
              <w:rPr>
                <w:sz w:val="19"/>
                <w:szCs w:val="19"/>
              </w:rPr>
              <w:t xml:space="preserve">Pre-filter on metadata — the bank-critical one. Document / row-level security inherited from source.</w:t>
            </w:r>
          </w:p>
        </w:tc>
      </w:tr>
      <w:tr>
        <w:tc>
          <w:tcPr>
            <w:tcW w:type="dxa" w:w="3500"/>
            <w:tcMar>
              <w:top w:type="dxa" w:w="60"/>
              <w:left w:type="dxa" w:w="110"/>
              <w:bottom w:type="dxa" w:w="60"/>
              <w:right w:type="dxa" w:w="110"/>
            </w:tcMar>
          </w:tcPr>
          <w:p>
            <w:pPr>
              <w:spacing w:after="20" w:line="248"/>
            </w:pPr>
            <w:r>
              <w:rPr>
                <w:b/>
                <w:bCs/>
                <w:color w:val="1F3864"/>
                <w:sz w:val="19"/>
                <w:szCs w:val="19"/>
              </w:rPr>
              <w:t xml:space="preserve">Grounding contract</w:t>
            </w:r>
          </w:p>
        </w:tc>
        <w:tc>
          <w:tcPr>
            <w:tcW w:type="dxa" w:w="5520"/>
            <w:tcMar>
              <w:top w:type="dxa" w:w="60"/>
              <w:left w:type="dxa" w:w="110"/>
              <w:bottom w:type="dxa" w:w="60"/>
              <w:right w:type="dxa" w:w="110"/>
            </w:tcMar>
          </w:tcPr>
          <w:p>
            <w:pPr>
              <w:spacing w:after="20" w:line="250"/>
            </w:pPr>
            <w:r>
              <w:rPr>
                <w:sz w:val="19"/>
                <w:szCs w:val="19"/>
              </w:rPr>
              <w:t xml:space="preserve">Hard-refuse on empty retrieval; decline-and-log rather than fabricate.</w:t>
            </w:r>
          </w:p>
        </w:tc>
      </w:tr>
    </w:tbl>
    <w:p>
      <w:pPr>
        <w:pStyle w:val="Heading3"/>
        <w:spacing w:after="80" w:before="180"/>
      </w:pPr>
      <w:r>
        <w:rPr>
          <w:b/>
          <w:bCs/>
          <w:color w:val="2E5496"/>
          <w:sz w:val="22"/>
          <w:szCs w:val="22"/>
        </w:rPr>
        <w:t xml:space="preserve">Router / semantic routing (adjacent, consumer-side)</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3500"/>
        <w:gridCol w:w="5520"/>
      </w:tblGrid>
      <w:tr>
        <w:trPr>
          <w:tblHeader/>
        </w:trPr>
        <w:tc>
          <w:tcPr>
            <w:tcW w:type="dxa" w:w="3500"/>
            <w:shd w:fill="2E5496" w:color="auto" w:val="clear"/>
            <w:tcMar>
              <w:top w:type="dxa" w:w="60"/>
              <w:left w:type="dxa" w:w="110"/>
              <w:bottom w:type="dxa" w:w="60"/>
              <w:right w:type="dxa" w:w="110"/>
            </w:tcMar>
          </w:tcPr>
          <w:p>
            <w:pPr>
              <w:spacing w:after="40" w:line="250"/>
            </w:pPr>
            <w:r>
              <w:rPr>
                <w:b/>
                <w:bCs/>
                <w:color w:val="FFFFFF"/>
                <w:sz w:val="19"/>
                <w:szCs w:val="19"/>
              </w:rPr>
              <w:t xml:space="preserve">DARB design question</w:t>
            </w:r>
          </w:p>
        </w:tc>
        <w:tc>
          <w:tcPr>
            <w:tcW w:type="dxa" w:w="5520"/>
            <w:shd w:fill="2E5496" w:color="auto" w:val="clear"/>
            <w:tcMar>
              <w:top w:type="dxa" w:w="60"/>
              <w:left w:type="dxa" w:w="110"/>
              <w:bottom w:type="dxa" w:w="60"/>
              <w:right w:type="dxa" w:w="110"/>
            </w:tcMar>
          </w:tcPr>
          <w:p>
            <w:pPr>
              <w:spacing w:after="40" w:line="250"/>
            </w:pPr>
            <w:r>
              <w:rPr>
                <w:b/>
                <w:bCs/>
                <w:color w:val="FFFFFF"/>
                <w:sz w:val="19"/>
                <w:szCs w:val="19"/>
              </w:rPr>
              <w:t xml:space="preserve">Our design position</w:t>
            </w:r>
          </w:p>
        </w:tc>
      </w:tr>
      <w:tr>
        <w:tc>
          <w:tcPr>
            <w:tcW w:type="dxa" w:w="3500"/>
            <w:tcMar>
              <w:top w:type="dxa" w:w="60"/>
              <w:left w:type="dxa" w:w="110"/>
              <w:bottom w:type="dxa" w:w="60"/>
              <w:right w:type="dxa" w:w="110"/>
            </w:tcMar>
          </w:tcPr>
          <w:p>
            <w:pPr>
              <w:spacing w:after="20" w:line="248"/>
            </w:pPr>
            <w:r>
              <w:rPr>
                <w:b/>
                <w:bCs/>
                <w:color w:val="1F3864"/>
                <w:sz w:val="19"/>
                <w:szCs w:val="19"/>
              </w:rPr>
              <w:t xml:space="preserve">Routing signal</w:t>
            </w:r>
          </w:p>
        </w:tc>
        <w:tc>
          <w:tcPr>
            <w:tcW w:type="dxa" w:w="5520"/>
            <w:tcMar>
              <w:top w:type="dxa" w:w="60"/>
              <w:left w:type="dxa" w:w="110"/>
              <w:bottom w:type="dxa" w:w="60"/>
              <w:right w:type="dxa" w:w="110"/>
            </w:tcMar>
          </w:tcPr>
          <w:p>
            <w:pPr>
              <w:spacing w:after="20" w:line="250"/>
            </w:pPr>
            <w:r>
              <w:rPr>
                <w:sz w:val="19"/>
                <w:szCs w:val="19"/>
              </w:rPr>
              <w:t xml:space="preserve">Structured→tools vs unstructured→RAG split. Classifier or rules; the structured/unstructured split is the router’s contract.</w:t>
            </w:r>
          </w:p>
        </w:tc>
      </w:tr>
      <w:tr>
        <w:tc>
          <w:tcPr>
            <w:tcW w:type="dxa" w:w="3500"/>
            <w:shd w:fill="F2F5FB" w:color="auto" w:val="clear"/>
            <w:tcMar>
              <w:top w:type="dxa" w:w="60"/>
              <w:left w:type="dxa" w:w="110"/>
              <w:bottom w:type="dxa" w:w="60"/>
              <w:right w:type="dxa" w:w="110"/>
            </w:tcMar>
          </w:tcPr>
          <w:p>
            <w:pPr>
              <w:spacing w:after="20" w:line="248"/>
            </w:pPr>
            <w:r>
              <w:rPr>
                <w:b/>
                <w:bCs/>
                <w:color w:val="1F3864"/>
                <w:sz w:val="19"/>
                <w:szCs w:val="19"/>
              </w:rPr>
              <w:t xml:space="preserve">Low-confidence fallback</w:t>
            </w:r>
          </w:p>
        </w:tc>
        <w:tc>
          <w:tcPr>
            <w:tcW w:type="dxa" w:w="5520"/>
            <w:shd w:fill="F2F5FB" w:color="auto" w:val="clear"/>
            <w:tcMar>
              <w:top w:type="dxa" w:w="60"/>
              <w:left w:type="dxa" w:w="110"/>
              <w:bottom w:type="dxa" w:w="60"/>
              <w:right w:type="dxa" w:w="110"/>
            </w:tcMar>
          </w:tcPr>
          <w:p>
            <w:pPr>
              <w:spacing w:after="20" w:line="250"/>
            </w:pPr>
            <w:r>
              <w:rPr>
                <w:sz w:val="19"/>
                <w:szCs w:val="19"/>
              </w:rPr>
              <w:t xml:space="preserve">Default handler + graceful decline when confidence is low.</w:t>
            </w:r>
          </w:p>
        </w:tc>
      </w:tr>
      <w:tr>
        <w:tc>
          <w:tcPr>
            <w:tcW w:type="dxa" w:w="3500"/>
            <w:tcMar>
              <w:top w:type="dxa" w:w="60"/>
              <w:left w:type="dxa" w:w="110"/>
              <w:bottom w:type="dxa" w:w="60"/>
              <w:right w:type="dxa" w:w="110"/>
            </w:tcMar>
          </w:tcPr>
          <w:p>
            <w:pPr>
              <w:spacing w:after="20" w:line="248"/>
            </w:pPr>
            <w:r>
              <w:rPr>
                <w:b/>
                <w:bCs/>
                <w:color w:val="1F3864"/>
                <w:sz w:val="19"/>
                <w:szCs w:val="19"/>
              </w:rPr>
              <w:t xml:space="preserve">Trace propagation</w:t>
            </w:r>
          </w:p>
        </w:tc>
        <w:tc>
          <w:tcPr>
            <w:tcW w:type="dxa" w:w="5520"/>
            <w:tcMar>
              <w:top w:type="dxa" w:w="60"/>
              <w:left w:type="dxa" w:w="110"/>
              <w:bottom w:type="dxa" w:w="60"/>
              <w:right w:type="dxa" w:w="110"/>
            </w:tcMar>
          </w:tcPr>
          <w:p>
            <w:pPr>
              <w:spacing w:after="20" w:line="250"/>
            </w:pPr>
            <w:r>
              <w:rPr>
                <w:sz w:val="19"/>
                <w:szCs w:val="19"/>
              </w:rPr>
              <w:t xml:space="preserve">Correlation ID across the routing hop into the serving layer’s audit.</w:t>
            </w:r>
          </w:p>
        </w:tc>
      </w:tr>
    </w:tbl>
    <w:p>
      <w:pPr>
        <w:spacing w:after="120" w:line="264"/>
      </w:pPr>
      <w:r>
        <w:rPr>
          <w:b/>
          <w:bCs/>
          <w:i w:val="false"/>
          <w:iCs w:val="false"/>
          <w:color w:val="222222"/>
          <w:sz w:val="21"/>
          <w:szCs w:val="21"/>
        </w:rPr>
        <w:t xml:space="preserve">Note: </w:t>
      </w:r>
      <w:r>
        <w:rPr>
          <w:b w:val="false"/>
          <w:bCs w:val="false"/>
          <w:i w:val="false"/>
          <w:iCs w:val="false"/>
          <w:color w:val="222222"/>
          <w:sz w:val="21"/>
          <w:szCs w:val="21"/>
        </w:rPr>
        <w:t xml:space="preserve">orchestration/routing is out of scope for this layer — it lives in the consumer. It is documented here only to fix the boundary: the serving layer treats the orchestrator as just another caller and filters independently.</w:t>
      </w:r>
    </w:p>
    <w:p>
      <w:pPr>
        <w:pStyle w:val="Heading1"/>
        <w:spacing w:after="140" w:before="320"/>
      </w:pPr>
      <w:r>
        <w:rPr>
          <w:b/>
          <w:bCs/>
          <w:color w:val="1F3864"/>
          <w:sz w:val="30"/>
          <w:szCs w:val="30"/>
        </w:rPr>
        <w:t xml:space="preserve">11.  Deliberate exclusion — Text-to-SQL / NL2X</w:t>
      </w:r>
    </w:p>
    <w:p>
      <w:pPr>
        <w:spacing w:after="120" w:line="264"/>
      </w:pPr>
      <w:r>
        <w:rPr>
          <w:b/>
          <w:bCs/>
          <w:i w:val="false"/>
          <w:iCs w:val="false"/>
          <w:color w:val="222222"/>
          <w:sz w:val="21"/>
          <w:szCs w:val="21"/>
        </w:rPr>
        <w:t xml:space="preserve">No AI-generated SQL anywhere in the path. </w:t>
      </w:r>
      <w:r>
        <w:rPr>
          <w:b w:val="false"/>
          <w:bCs w:val="false"/>
          <w:i w:val="false"/>
          <w:iCs w:val="false"/>
          <w:color w:val="222222"/>
          <w:sz w:val="21"/>
          <w:szCs w:val="21"/>
        </w:rPr>
        <w:t xml:space="preserve">The DARB catalogue lists Text-to-SQL / NL2X as its own pattern with a distinct injection and entitlement profile — a recognised higher-risk pattern. We expose typed, parameterised tools backed by fixed, reviewed queries instead. The model picks a tool and fills parameters; it never authors SQL.</w:t>
      </w:r>
    </w:p>
    <w:p>
      <w:pPr>
        <w:pStyle w:val="ListParagraph"/>
        <w:numPr>
          <w:ilvl w:val="0"/>
          <w:numId w:val="2"/>
        </w:numPr>
        <w:spacing w:after="70" w:line="258"/>
      </w:pPr>
      <w:r>
        <w:rPr>
          <w:b/>
          <w:bCs/>
          <w:i w:val="false"/>
          <w:iCs w:val="false"/>
          <w:color w:val="222222"/>
          <w:sz w:val="21"/>
          <w:szCs w:val="21"/>
        </w:rPr>
        <w:t xml:space="preserve">Deterministic &amp; testable</w:t>
      </w:r>
      <w:r>
        <w:rPr>
          <w:b w:val="false"/>
          <w:bCs w:val="false"/>
          <w:i w:val="false"/>
          <w:iCs w:val="false"/>
          <w:color w:val="222222"/>
          <w:sz w:val="21"/>
          <w:szCs w:val="21"/>
        </w:rPr>
        <w:t xml:space="preserve"> — every access primitive is a fixed engineering artifact: reproducible, auditable, certifiable once.</w:t>
      </w:r>
    </w:p>
    <w:p>
      <w:pPr>
        <w:pStyle w:val="ListParagraph"/>
        <w:numPr>
          <w:ilvl w:val="0"/>
          <w:numId w:val="2"/>
        </w:numPr>
        <w:spacing w:after="70" w:line="258"/>
      </w:pPr>
      <w:r>
        <w:rPr>
          <w:b/>
          <w:bCs/>
          <w:i w:val="false"/>
          <w:iCs w:val="false"/>
          <w:color w:val="222222"/>
          <w:sz w:val="21"/>
          <w:szCs w:val="21"/>
        </w:rPr>
        <w:t xml:space="preserve">Entitlement-safe</w:t>
      </w:r>
      <w:r>
        <w:rPr>
          <w:b w:val="false"/>
          <w:bCs w:val="false"/>
          <w:i w:val="false"/>
          <w:iCs w:val="false"/>
          <w:color w:val="222222"/>
          <w:sz w:val="21"/>
          <w:szCs w:val="21"/>
        </w:rPr>
        <w:t xml:space="preserve"> — the filter binds to the view / query, not to text the model composed.</w:t>
      </w:r>
    </w:p>
    <w:p>
      <w:pPr>
        <w:pStyle w:val="ListParagraph"/>
        <w:numPr>
          <w:ilvl w:val="0"/>
          <w:numId w:val="2"/>
        </w:numPr>
        <w:spacing w:after="70" w:line="258"/>
      </w:pPr>
      <w:r>
        <w:rPr>
          <w:b/>
          <w:bCs/>
          <w:i w:val="false"/>
          <w:iCs w:val="false"/>
          <w:color w:val="222222"/>
          <w:sz w:val="21"/>
          <w:szCs w:val="21"/>
        </w:rPr>
        <w:t xml:space="preserve">Injection surface minimised</w:t>
      </w:r>
      <w:r>
        <w:rPr>
          <w:b w:val="false"/>
          <w:bCs w:val="false"/>
          <w:i w:val="false"/>
          <w:iCs w:val="false"/>
          <w:color w:val="222222"/>
          <w:sz w:val="21"/>
          <w:szCs w:val="21"/>
        </w:rPr>
        <w:t xml:space="preserve"> — there is no query-generation step for an attacker to steer.</w:t>
      </w:r>
    </w:p>
    <w:p>
      <w:pPr>
        <w:spacing w:after="120" w:line="264"/>
      </w:pPr>
      <w:r>
        <w:rPr>
          <w:color w:val="222222"/>
          <w:sz w:val="21"/>
          <w:szCs w:val="21"/>
        </w:rPr>
        <w:t xml:space="preserve">This exclusion is the design’s headline safety decision, and the DARB framework itself documents why it is the safer choice.</w:t>
      </w:r>
    </w:p>
    <w:p>
      <w:r>
        <w:br w:type="page"/>
      </w:r>
    </w:p>
    <w:p>
      <w:pPr>
        <w:pStyle w:val="Heading1"/>
        <w:spacing w:after="140" w:before="320"/>
      </w:pPr>
      <w:r>
        <w:rPr>
          <w:b/>
          <w:bCs/>
          <w:color w:val="1F3864"/>
          <w:sz w:val="30"/>
          <w:szCs w:val="30"/>
        </w:rPr>
        <w:t xml:space="preserve">12.  How this is handled in the outside world</w:t>
      </w:r>
    </w:p>
    <w:p>
      <w:pPr>
        <w:spacing w:after="120" w:line="264"/>
      </w:pPr>
      <w:r>
        <w:rPr>
          <w:color w:val="222222"/>
          <w:sz w:val="21"/>
          <w:szCs w:val="21"/>
        </w:rPr>
        <w:t xml:space="preserve">This design is not bespoke. It is the bank-constrained, hand-built version of four established industry patterns. Naming them gives the board reference points, shows the approach is mainstream, and frames the one strategic question the board will ask (build vs buy).</w:t>
      </w:r>
    </w:p>
    <w:p>
      <w:pPr>
        <w:pStyle w:val="Heading3"/>
        <w:spacing w:after="80" w:before="180"/>
      </w:pPr>
      <w:r>
        <w:rPr>
          <w:b/>
          <w:bCs/>
          <w:color w:val="2E5496"/>
          <w:sz w:val="22"/>
          <w:szCs w:val="22"/>
        </w:rPr>
        <w:t xml:space="preserve">1.  Data mesh / data-as-a-product</w:t>
      </w:r>
    </w:p>
    <w:p>
      <w:pPr>
        <w:spacing w:after="120" w:line="264"/>
      </w:pPr>
      <w:r>
        <w:rPr>
          <w:color w:val="222222"/>
          <w:sz w:val="21"/>
          <w:szCs w:val="21"/>
        </w:rPr>
        <w:t xml:space="preserve">The originating idea (Zhamak Dehghani, ThoughtWorks): data is owned by business domains and served as products with explicit contracts, SLAs and “output ports”, under federated, policy-as-code governance. The current framing goes further — “dual-use” data products whose output ports include not just SQL endpoints and APIs but machine-context interfaces that AI agents query directly, making the mesh an operating layer for both humans and agents.</w:t>
      </w:r>
    </w:p>
    <w:p>
      <w:pPr>
        <w:spacing w:after="120" w:line="264"/>
      </w:pPr>
      <w:r>
        <w:rPr>
          <w:b/>
          <w:bCs/>
          <w:i w:val="false"/>
          <w:iCs w:val="false"/>
          <w:color w:val="222222"/>
          <w:sz w:val="21"/>
          <w:szCs w:val="21"/>
        </w:rPr>
        <w:t xml:space="preserve">Maps to this design: </w:t>
      </w:r>
      <w:r>
        <w:rPr>
          <w:b w:val="false"/>
          <w:bCs w:val="false"/>
          <w:i w:val="false"/>
          <w:iCs w:val="false"/>
          <w:color w:val="222222"/>
          <w:sz w:val="21"/>
          <w:szCs w:val="21"/>
        </w:rPr>
        <w:t xml:space="preserve">the per-domain MCP + REST adapters are the product’s output ports; the product contract is the mesh contract; the registry / catalog is mesh discovery. The “dual-use” product (one certified product serving BI, apps and agents) is exactly the scope here.</w:t>
      </w:r>
    </w:p>
    <w:p>
      <w:pPr>
        <w:pStyle w:val="Heading3"/>
        <w:spacing w:after="80" w:before="180"/>
      </w:pPr>
      <w:r>
        <w:rPr>
          <w:b/>
          <w:bCs/>
          <w:color w:val="2E5496"/>
          <w:sz w:val="22"/>
          <w:szCs w:val="22"/>
        </w:rPr>
        <w:t xml:space="preserve">2.  Semantic / headless layer</w:t>
      </w:r>
    </w:p>
    <w:p>
      <w:pPr>
        <w:spacing w:after="120" w:line="264"/>
      </w:pPr>
      <w:r>
        <w:rPr>
          <w:color w:val="222222"/>
          <w:sz w:val="21"/>
          <w:szCs w:val="21"/>
        </w:rPr>
        <w:t xml:space="preserve">The dominant way to serve governed numbers: define metrics, dimensions, joins and access rules once, in code, and let every consumer — dashboards, embedded apps, REST/GraphQL/SQL, and AI agents over MCP — query the same model so all return the same number. Access rules apply before data is returned; hot paths are cached or pre-aggregated. Tools: dbt Semantic Layer (MetricFlow), Cube, AtScale, Looker/LookML, plus warehouse-native Snowflake Semantic Views and Databricks Metric Views. A notable design stance in these tools: agents query the semantic layer as a trusted proxy, never the warehouse directly.</w:t>
      </w:r>
    </w:p>
    <w:p>
      <w:pPr>
        <w:spacing w:after="120" w:line="264"/>
      </w:pPr>
      <w:r>
        <w:rPr>
          <w:b/>
          <w:bCs/>
          <w:i w:val="false"/>
          <w:iCs w:val="false"/>
          <w:color w:val="222222"/>
          <w:sz w:val="21"/>
          <w:szCs w:val="21"/>
        </w:rPr>
        <w:t xml:space="preserve">Maps to this design: </w:t>
      </w:r>
      <w:r>
        <w:rPr>
          <w:b w:val="false"/>
          <w:bCs w:val="false"/>
          <w:i w:val="false"/>
          <w:iCs w:val="false"/>
          <w:color w:val="222222"/>
          <w:sz w:val="21"/>
          <w:szCs w:val="21"/>
        </w:rPr>
        <w:t xml:space="preserve">the view layer + access service is a hand-built semantic layer. The no-AI-SQL / typed-tools decision is precisely the trusted-proxy stance; materialise-hot-paths is pre-aggregation. This is the closest off-the-shelf category to what is being built.</w:t>
      </w:r>
    </w:p>
    <w:p>
      <w:pPr>
        <w:pStyle w:val="Heading3"/>
        <w:spacing w:after="80" w:before="180"/>
      </w:pPr>
      <w:r>
        <w:rPr>
          <w:b/>
          <w:bCs/>
          <w:color w:val="2E5496"/>
          <w:sz w:val="22"/>
          <w:szCs w:val="22"/>
        </w:rPr>
        <w:t xml:space="preserve">3.  Attribute-based access control (ABAC) + policy-as-code</w:t>
      </w:r>
    </w:p>
    <w:p>
      <w:pPr>
        <w:spacing w:after="120" w:line="264"/>
      </w:pPr>
      <w:r>
        <w:rPr>
          <w:color w:val="222222"/>
          <w:sz w:val="21"/>
          <w:szCs w:val="21"/>
        </w:rPr>
        <w:t xml:space="preserve">The current standard for data entitlements: access decided at query time from attributes of the user, resource and context, enforced as row-filter and column-mask policies pushed into the platform. ABAC replaces per-role grants and avoids “role explosion” — one policy enforced everywhere instead of hundreds of role definitions. Tools: Immuta (cross-platform), Databricks Unity Catalog native ABAC via governed tags, and policy engines such as Open Policy Agent, Privacera and Apache Ranger.</w:t>
      </w:r>
    </w:p>
    <w:p>
      <w:pPr>
        <w:spacing w:after="120" w:line="264"/>
      </w:pPr>
      <w:r>
        <w:rPr>
          <w:b/>
          <w:bCs/>
          <w:i w:val="false"/>
          <w:iCs w:val="false"/>
          <w:color w:val="222222"/>
          <w:sz w:val="21"/>
          <w:szCs w:val="21"/>
        </w:rPr>
        <w:t xml:space="preserve">Maps to this design: </w:t>
      </w:r>
      <w:r>
        <w:rPr>
          <w:b w:val="false"/>
          <w:bCs w:val="false"/>
          <w:i w:val="false"/>
          <w:iCs w:val="false"/>
          <w:color w:val="222222"/>
          <w:sz w:val="21"/>
          <w:szCs w:val="21"/>
        </w:rPr>
        <w:t xml:space="preserve">the entitlement filter is ABAC pushed down to DB row-level security; consume-the-bank’s-store means the attributes come from the existing identity source; row + column control is row-filter + column-mask. §8 is the industry-standard model, correctly chosen.</w:t>
      </w:r>
    </w:p>
    <w:p>
      <w:pPr>
        <w:pStyle w:val="Heading3"/>
        <w:spacing w:after="80" w:before="180"/>
      </w:pPr>
      <w:r>
        <w:rPr>
          <w:b/>
          <w:bCs/>
          <w:color w:val="2E5496"/>
          <w:sz w:val="22"/>
          <w:szCs w:val="22"/>
        </w:rPr>
        <w:t xml:space="preserve">4.  Data contracts (and bitemporal serving)</w:t>
      </w:r>
    </w:p>
    <w:p>
      <w:pPr>
        <w:spacing w:after="120" w:line="264"/>
      </w:pPr>
      <w:r>
        <w:rPr>
          <w:color w:val="222222"/>
          <w:sz w:val="21"/>
          <w:szCs w:val="21"/>
        </w:rPr>
        <w:t xml:space="preserve">Producer-to-consumer agreements, versioned with backward-compatibility and deprecation windows, encoding not just schema but semantics (units, definitions, valid ranges) and operational guarantees (completeness, timeliness, reconciliation tolerance). In finance these operationalise BCBS 239, MiFID II and SOX inside the pipeline, with an auditable history of who changed what. Alongside them, bitemporal modelling (separate valid-time and recorded-time, as-of queries) is the standard technique for regulated reporting — reproducing any past report both as it actually was and as it was recorded, after later corrections.</w:t>
      </w:r>
    </w:p>
    <w:p>
      <w:pPr>
        <w:spacing w:after="120" w:line="264"/>
      </w:pPr>
      <w:r>
        <w:rPr>
          <w:b/>
          <w:bCs/>
          <w:i w:val="false"/>
          <w:iCs w:val="false"/>
          <w:color w:val="222222"/>
          <w:sz w:val="21"/>
          <w:szCs w:val="21"/>
        </w:rPr>
        <w:t xml:space="preserve">Maps to this design: </w:t>
      </w:r>
      <w:r>
        <w:rPr>
          <w:b w:val="false"/>
          <w:bCs w:val="false"/>
          <w:i w:val="false"/>
          <w:iCs w:val="false"/>
          <w:color w:val="222222"/>
          <w:sz w:val="21"/>
          <w:szCs w:val="21"/>
        </w:rPr>
        <w:t xml:space="preserve">the product contract is a data contract; the definition-versioning and as-of / bitemporal points from §9 are the finance-specific disciplines these patterns exist to enforce.</w:t>
      </w:r>
    </w:p>
    <w:p>
      <w:pPr>
        <w:pStyle w:val="Heading3"/>
        <w:spacing w:after="80" w:before="180"/>
      </w:pPr>
      <w:r>
        <w:rPr>
          <w:b/>
          <w:bCs/>
          <w:color w:val="2E5496"/>
          <w:sz w:val="22"/>
          <w:szCs w:val="22"/>
        </w:rPr>
        <w:t xml:space="preserve">The strategic question — build vs buy</w:t>
      </w:r>
    </w:p>
    <w:p>
      <w:pPr>
        <w:spacing w:after="120" w:line="264"/>
      </w:pPr>
      <w:r>
        <w:rPr>
          <w:color w:val="222222"/>
          <w:sz w:val="21"/>
          <w:szCs w:val="21"/>
        </w:rPr>
        <w:t xml:space="preserve">Every capability here exists as product: semantic layer (Cube, dbt), ABAC (Immuta, Unity Catalog), catalog + contracts (Collibra, Atlan). This design hand-builds them as views + an access service — defensible given the existing star schema, the control requirements, and the no-AI-SQL stance, but the board will likely ask why not adopt a product. Three viable positions: hand-build (maximum control, most effort); adopt a semantic-layer + ABAC product under the same architecture; or a hybrid — buy ABAC and catalog, build the view / tool layer. This is worth pre-empting with an explicit recommendation.</w:t>
      </w:r>
    </w:p>
    <w:p>
      <w:pPr>
        <w:pStyle w:val="Heading1"/>
        <w:spacing w:after="140" w:before="320"/>
      </w:pPr>
      <w:r>
        <w:rPr>
          <w:b/>
          <w:bCs/>
          <w:color w:val="1F3864"/>
          <w:sz w:val="30"/>
          <w:szCs w:val="30"/>
        </w:rPr>
        <w:t xml:space="preserve">13.  Key design decisions</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120"/>
      </w:tblGrid>
      <w:tr>
        <w:trPr>
          <w:tblHeader/>
        </w:trPr>
        <w:tc>
          <w:tcPr>
            <w:tcW w:type="dxa" w:w="2900"/>
            <w:shd w:fill="2E5496" w:color="auto" w:val="clear"/>
            <w:tcMar>
              <w:top w:type="dxa" w:w="60"/>
              <w:left w:type="dxa" w:w="110"/>
              <w:bottom w:type="dxa" w:w="60"/>
              <w:right w:type="dxa" w:w="110"/>
            </w:tcMar>
          </w:tcPr>
          <w:p>
            <w:pPr>
              <w:spacing w:after="40" w:line="250"/>
            </w:pPr>
            <w:r>
              <w:rPr>
                <w:b/>
                <w:bCs/>
                <w:color w:val="FFFFFF"/>
                <w:sz w:val="19"/>
                <w:szCs w:val="19"/>
              </w:rPr>
              <w:t xml:space="preserve">Decision</w:t>
            </w:r>
          </w:p>
        </w:tc>
        <w:tc>
          <w:tcPr>
            <w:tcW w:type="dxa" w:w="6120"/>
            <w:shd w:fill="2E5496" w:color="auto" w:val="clear"/>
            <w:tcMar>
              <w:top w:type="dxa" w:w="60"/>
              <w:left w:type="dxa" w:w="110"/>
              <w:bottom w:type="dxa" w:w="60"/>
              <w:right w:type="dxa" w:w="110"/>
            </w:tcMar>
          </w:tcPr>
          <w:p>
            <w:pPr>
              <w:spacing w:after="40" w:line="250"/>
            </w:pPr>
            <w:r>
              <w:rPr>
                <w:b/>
                <w:bCs/>
                <w:color w:val="FFFFFF"/>
                <w:sz w:val="19"/>
                <w:szCs w:val="19"/>
              </w:rPr>
              <w:t xml:space="preserve">Rationale</w:t>
            </w:r>
          </w:p>
        </w:tc>
      </w:tr>
      <w:tr>
        <w:tc>
          <w:tcPr>
            <w:tcW w:type="dxa" w:w="2900"/>
            <w:tcMar>
              <w:top w:type="dxa" w:w="60"/>
              <w:left w:type="dxa" w:w="110"/>
              <w:bottom w:type="dxa" w:w="60"/>
              <w:right w:type="dxa" w:w="110"/>
            </w:tcMar>
          </w:tcPr>
          <w:p>
            <w:pPr>
              <w:spacing w:after="20" w:line="248"/>
            </w:pPr>
            <w:r>
              <w:rPr>
                <w:b/>
                <w:bCs/>
                <w:color w:val="1F3864"/>
                <w:sz w:val="19"/>
                <w:szCs w:val="19"/>
              </w:rPr>
              <w:t xml:space="preserve">Views over copies</w:t>
            </w:r>
          </w:p>
        </w:tc>
        <w:tc>
          <w:tcPr>
            <w:tcW w:type="dxa" w:w="6120"/>
            <w:tcMar>
              <w:top w:type="dxa" w:w="60"/>
              <w:left w:type="dxa" w:w="110"/>
              <w:bottom w:type="dxa" w:w="60"/>
              <w:right w:type="dxa" w:w="110"/>
            </w:tcMar>
          </w:tcPr>
          <w:p>
            <w:pPr>
              <w:spacing w:after="20" w:line="248"/>
            </w:pPr>
            <w:r>
              <w:rPr>
                <w:b w:val="false"/>
                <w:bCs w:val="false"/>
                <w:color w:val="222222"/>
                <w:sz w:val="19"/>
                <w:szCs w:val="19"/>
              </w:rPr>
              <w:t xml:space="preserve">Always fresh, no fourth physical copy, no reconciliation debt. Materialise only hot paths.</w:t>
            </w:r>
          </w:p>
        </w:tc>
      </w:tr>
      <w:tr>
        <w:tc>
          <w:tcPr>
            <w:tcW w:type="dxa" w:w="2900"/>
            <w:shd w:fill="F2F5FB" w:color="auto" w:val="clear"/>
            <w:tcMar>
              <w:top w:type="dxa" w:w="60"/>
              <w:left w:type="dxa" w:w="110"/>
              <w:bottom w:type="dxa" w:w="60"/>
              <w:right w:type="dxa" w:w="110"/>
            </w:tcMar>
          </w:tcPr>
          <w:p>
            <w:pPr>
              <w:spacing w:after="20" w:line="248"/>
            </w:pPr>
            <w:r>
              <w:rPr>
                <w:b/>
                <w:bCs/>
                <w:color w:val="1F3864"/>
                <w:sz w:val="19"/>
                <w:szCs w:val="19"/>
              </w:rPr>
              <w:t xml:space="preserve">One access service, two thin adapters</w:t>
            </w:r>
          </w:p>
        </w:tc>
        <w:tc>
          <w:tcPr>
            <w:tcW w:type="dxa" w:w="61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MCP + REST are two faces of one query layer — same view, same query, same entitlement check. One thing to maintain.</w:t>
            </w:r>
          </w:p>
        </w:tc>
      </w:tr>
      <w:tr>
        <w:tc>
          <w:tcPr>
            <w:tcW w:type="dxa" w:w="2900"/>
            <w:tcMar>
              <w:top w:type="dxa" w:w="60"/>
              <w:left w:type="dxa" w:w="110"/>
              <w:bottom w:type="dxa" w:w="60"/>
              <w:right w:type="dxa" w:w="110"/>
            </w:tcMar>
          </w:tcPr>
          <w:p>
            <w:pPr>
              <w:spacing w:after="20" w:line="248"/>
            </w:pPr>
            <w:r>
              <w:rPr>
                <w:b/>
                <w:bCs/>
                <w:color w:val="1F3864"/>
                <w:sz w:val="19"/>
                <w:szCs w:val="19"/>
              </w:rPr>
              <w:t xml:space="preserve">No AI-generated SQL</w:t>
            </w:r>
          </w:p>
        </w:tc>
        <w:tc>
          <w:tcPr>
            <w:tcW w:type="dxa" w:w="6120"/>
            <w:tcMar>
              <w:top w:type="dxa" w:w="60"/>
              <w:left w:type="dxa" w:w="110"/>
              <w:bottom w:type="dxa" w:w="60"/>
              <w:right w:type="dxa" w:w="110"/>
            </w:tcMar>
          </w:tcPr>
          <w:p>
            <w:pPr>
              <w:spacing w:after="20" w:line="248"/>
            </w:pPr>
            <w:r>
              <w:rPr>
                <w:b w:val="false"/>
                <w:bCs w:val="false"/>
                <w:color w:val="222222"/>
                <w:sz w:val="19"/>
                <w:szCs w:val="19"/>
              </w:rPr>
              <w:t xml:space="preserve">Typed tools over certified products; deterministic, auditable, entitlement-safe (§10).</w:t>
            </w:r>
          </w:p>
        </w:tc>
      </w:tr>
      <w:tr>
        <w:tc>
          <w:tcPr>
            <w:tcW w:type="dxa" w:w="2900"/>
            <w:shd w:fill="F2F5FB" w:color="auto" w:val="clear"/>
            <w:tcMar>
              <w:top w:type="dxa" w:w="60"/>
              <w:left w:type="dxa" w:w="110"/>
              <w:bottom w:type="dxa" w:w="60"/>
              <w:right w:type="dxa" w:w="110"/>
            </w:tcMar>
          </w:tcPr>
          <w:p>
            <w:pPr>
              <w:spacing w:after="20" w:line="248"/>
            </w:pPr>
            <w:r>
              <w:rPr>
                <w:b/>
                <w:bCs/>
                <w:color w:val="1F3864"/>
                <w:sz w:val="19"/>
                <w:szCs w:val="19"/>
              </w:rPr>
              <w:t xml:space="preserve">Bounded tool count</w:t>
            </w:r>
          </w:p>
        </w:tc>
        <w:tc>
          <w:tcPr>
            <w:tcW w:type="dxa" w:w="61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Products × 3–5 access patterns. Low hundreds, not thousands. Parameterisation + composition absorb variation.</w:t>
            </w:r>
          </w:p>
        </w:tc>
      </w:tr>
      <w:tr>
        <w:tc>
          <w:tcPr>
            <w:tcW w:type="dxa" w:w="2900"/>
            <w:tcMar>
              <w:top w:type="dxa" w:w="60"/>
              <w:left w:type="dxa" w:w="110"/>
              <w:bottom w:type="dxa" w:w="60"/>
              <w:right w:type="dxa" w:w="110"/>
            </w:tcMar>
          </w:tcPr>
          <w:p>
            <w:pPr>
              <w:spacing w:after="20" w:line="248"/>
            </w:pPr>
            <w:r>
              <w:rPr>
                <w:b/>
                <w:bCs/>
                <w:color w:val="1F3864"/>
                <w:sz w:val="19"/>
                <w:szCs w:val="19"/>
              </w:rPr>
              <w:t xml:space="preserve">Authn at edge, authz at serving layer</w:t>
            </w:r>
          </w:p>
        </w:tc>
        <w:tc>
          <w:tcPr>
            <w:tcW w:type="dxa" w:w="6120"/>
            <w:tcMar>
              <w:top w:type="dxa" w:w="60"/>
              <w:left w:type="dxa" w:w="110"/>
              <w:bottom w:type="dxa" w:w="60"/>
              <w:right w:type="dxa" w:w="110"/>
            </w:tcMar>
          </w:tcPr>
          <w:p>
            <w:pPr>
              <w:spacing w:after="20" w:line="248"/>
            </w:pPr>
            <w:r>
              <w:rPr>
                <w:b w:val="false"/>
                <w:bCs w:val="false"/>
                <w:color w:val="222222"/>
                <w:sz w:val="19"/>
                <w:szCs w:val="19"/>
              </w:rPr>
              <w:t xml:space="preserve">Authorization enforced on every pull, at the data — not only at one orchestrator.</w:t>
            </w:r>
          </w:p>
        </w:tc>
      </w:tr>
      <w:tr>
        <w:tc>
          <w:tcPr>
            <w:tcW w:type="dxa" w:w="2900"/>
            <w:shd w:fill="F2F5FB" w:color="auto" w:val="clear"/>
            <w:tcMar>
              <w:top w:type="dxa" w:w="60"/>
              <w:left w:type="dxa" w:w="110"/>
              <w:bottom w:type="dxa" w:w="60"/>
              <w:right w:type="dxa" w:w="110"/>
            </w:tcMar>
          </w:tcPr>
          <w:p>
            <w:pPr>
              <w:spacing w:after="20" w:line="248"/>
            </w:pPr>
            <w:r>
              <w:rPr>
                <w:b/>
                <w:bCs/>
                <w:color w:val="1F3864"/>
                <w:sz w:val="19"/>
                <w:szCs w:val="19"/>
              </w:rPr>
              <w:t xml:space="preserve">Pre-filter, pushed to DB RLS</w:t>
            </w:r>
          </w:p>
        </w:tc>
        <w:tc>
          <w:tcPr>
            <w:tcW w:type="dxa" w:w="61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No forbidden rows ever leave the DB; enforcement lives at the data.</w:t>
            </w:r>
          </w:p>
        </w:tc>
      </w:tr>
      <w:tr>
        <w:tc>
          <w:tcPr>
            <w:tcW w:type="dxa" w:w="2900"/>
            <w:tcMar>
              <w:top w:type="dxa" w:w="60"/>
              <w:left w:type="dxa" w:w="110"/>
              <w:bottom w:type="dxa" w:w="60"/>
              <w:right w:type="dxa" w:w="110"/>
            </w:tcMar>
          </w:tcPr>
          <w:p>
            <w:pPr>
              <w:spacing w:after="20" w:line="248"/>
            </w:pPr>
            <w:r>
              <w:rPr>
                <w:b/>
                <w:bCs/>
                <w:color w:val="1F3864"/>
                <w:sz w:val="19"/>
                <w:szCs w:val="19"/>
              </w:rPr>
              <w:t xml:space="preserve">Identity propagated in token</w:t>
            </w:r>
          </w:p>
        </w:tc>
        <w:tc>
          <w:tcPr>
            <w:tcW w:type="dxa" w:w="6120"/>
            <w:tcMar>
              <w:top w:type="dxa" w:w="60"/>
              <w:left w:type="dxa" w:w="110"/>
              <w:bottom w:type="dxa" w:w="60"/>
              <w:right w:type="dxa" w:w="110"/>
            </w:tcMar>
          </w:tcPr>
          <w:p>
            <w:pPr>
              <w:spacing w:after="20" w:line="248"/>
            </w:pPr>
            <w:r>
              <w:rPr>
                <w:b w:val="false"/>
                <w:bCs w:val="false"/>
                <w:color w:val="222222"/>
                <w:sz w:val="19"/>
                <w:szCs w:val="19"/>
              </w:rPr>
              <w:t xml:space="preserve">On-behalf-of, never a service account. The reason full access dies.</w:t>
            </w:r>
          </w:p>
        </w:tc>
      </w:tr>
      <w:tr>
        <w:tc>
          <w:tcPr>
            <w:tcW w:type="dxa" w:w="2900"/>
            <w:shd w:fill="F2F5FB" w:color="auto" w:val="clear"/>
            <w:tcMar>
              <w:top w:type="dxa" w:w="60"/>
              <w:left w:type="dxa" w:w="110"/>
              <w:bottom w:type="dxa" w:w="60"/>
              <w:right w:type="dxa" w:w="110"/>
            </w:tcMar>
          </w:tcPr>
          <w:p>
            <w:pPr>
              <w:spacing w:after="20" w:line="248"/>
            </w:pPr>
            <w:r>
              <w:rPr>
                <w:b/>
                <w:bCs/>
                <w:color w:val="1F3864"/>
                <w:sz w:val="19"/>
                <w:szCs w:val="19"/>
              </w:rPr>
              <w:t xml:space="preserve">Product = migration target model</w:t>
            </w:r>
          </w:p>
        </w:tc>
        <w:tc>
          <w:tcPr>
            <w:tcW w:type="dxa" w:w="61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Same artifact serves both the rebuild target and the serving tools.</w:t>
            </w:r>
          </w:p>
        </w:tc>
      </w:tr>
      <w:tr>
        <w:tc>
          <w:tcPr>
            <w:tcW w:type="dxa" w:w="2900"/>
            <w:tcMar>
              <w:top w:type="dxa" w:w="60"/>
              <w:left w:type="dxa" w:w="110"/>
              <w:bottom w:type="dxa" w:w="60"/>
              <w:right w:type="dxa" w:w="110"/>
            </w:tcMar>
          </w:tcPr>
          <w:p>
            <w:pPr>
              <w:spacing w:after="20" w:line="248"/>
            </w:pPr>
            <w:r>
              <w:rPr>
                <w:b/>
                <w:bCs/>
                <w:color w:val="1F3864"/>
                <w:sz w:val="19"/>
                <w:szCs w:val="19"/>
              </w:rPr>
              <w:t xml:space="preserve">Registry / catalog for discovery</w:t>
            </w:r>
          </w:p>
        </w:tc>
        <w:tc>
          <w:tcPr>
            <w:tcW w:type="dxa" w:w="6120"/>
            <w:tcMar>
              <w:top w:type="dxa" w:w="60"/>
              <w:left w:type="dxa" w:w="110"/>
              <w:bottom w:type="dxa" w:w="60"/>
              <w:right w:type="dxa" w:w="110"/>
            </w:tcMar>
          </w:tcPr>
          <w:p>
            <w:pPr>
              <w:spacing w:after="20" w:line="248"/>
            </w:pPr>
            <w:r>
              <w:rPr>
                <w:b w:val="false"/>
                <w:bCs w:val="false"/>
                <w:color w:val="222222"/>
                <w:sz w:val="19"/>
                <w:szCs w:val="19"/>
              </w:rPr>
              <w:t xml:space="preserve">Self-service for unknown future consumers; “MCP of MCPs”.</w:t>
            </w:r>
          </w:p>
        </w:tc>
      </w:tr>
    </w:tbl>
    <w:p>
      <w:pPr>
        <w:pStyle w:val="Heading1"/>
        <w:spacing w:after="140" w:before="320"/>
      </w:pPr>
      <w:r>
        <w:rPr>
          <w:b/>
          <w:bCs/>
          <w:color w:val="1F3864"/>
          <w:sz w:val="30"/>
          <w:szCs w:val="30"/>
        </w:rPr>
        <w:t xml:space="preserve">14.  Open design decisions (gaps for the board)</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20"/>
      </w:tblGrid>
      <w:tr>
        <w:trPr>
          <w:tblHeader/>
        </w:trPr>
        <w:tc>
          <w:tcPr>
            <w:tcW w:type="dxa" w:w="2600"/>
            <w:shd w:fill="2E5496" w:color="auto" w:val="clear"/>
            <w:tcMar>
              <w:top w:type="dxa" w:w="60"/>
              <w:left w:type="dxa" w:w="110"/>
              <w:bottom w:type="dxa" w:w="60"/>
              <w:right w:type="dxa" w:w="110"/>
            </w:tcMar>
          </w:tcPr>
          <w:p>
            <w:pPr>
              <w:spacing w:after="40" w:line="250"/>
            </w:pPr>
            <w:r>
              <w:rPr>
                <w:b/>
                <w:bCs/>
                <w:color w:val="FFFFFF"/>
                <w:sz w:val="19"/>
                <w:szCs w:val="19"/>
              </w:rPr>
              <w:t xml:space="preserve">Open item</w:t>
            </w:r>
          </w:p>
        </w:tc>
        <w:tc>
          <w:tcPr>
            <w:tcW w:type="dxa" w:w="6420"/>
            <w:shd w:fill="2E5496" w:color="auto" w:val="clear"/>
            <w:tcMar>
              <w:top w:type="dxa" w:w="60"/>
              <w:left w:type="dxa" w:w="110"/>
              <w:bottom w:type="dxa" w:w="60"/>
              <w:right w:type="dxa" w:w="110"/>
            </w:tcMar>
          </w:tcPr>
          <w:p>
            <w:pPr>
              <w:spacing w:after="40" w:line="250"/>
            </w:pPr>
            <w:r>
              <w:rPr>
                <w:b/>
                <w:bCs/>
                <w:color w:val="FFFFFF"/>
                <w:sz w:val="19"/>
                <w:szCs w:val="19"/>
              </w:rPr>
              <w:t xml:space="preserve">The choice to settle</w:t>
            </w:r>
          </w:p>
        </w:tc>
      </w:tr>
      <w:tr>
        <w:tc>
          <w:tcPr>
            <w:tcW w:type="dxa" w:w="2600"/>
            <w:tcMar>
              <w:top w:type="dxa" w:w="60"/>
              <w:left w:type="dxa" w:w="110"/>
              <w:bottom w:type="dxa" w:w="60"/>
              <w:right w:type="dxa" w:w="110"/>
            </w:tcMar>
          </w:tcPr>
          <w:p>
            <w:pPr>
              <w:spacing w:after="20" w:line="248"/>
            </w:pPr>
            <w:r>
              <w:rPr>
                <w:b/>
                <w:bCs/>
                <w:color w:val="1F3864"/>
                <w:sz w:val="19"/>
                <w:szCs w:val="19"/>
              </w:rPr>
              <w:t xml:space="preserve">What the token carries</w:t>
            </w:r>
          </w:p>
        </w:tc>
        <w:tc>
          <w:tcPr>
            <w:tcW w:type="dxa" w:w="6420"/>
            <w:tcMar>
              <w:top w:type="dxa" w:w="60"/>
              <w:left w:type="dxa" w:w="110"/>
              <w:bottom w:type="dxa" w:w="60"/>
              <w:right w:type="dxa" w:w="110"/>
            </w:tcMar>
          </w:tcPr>
          <w:p>
            <w:pPr>
              <w:spacing w:after="20" w:line="248"/>
            </w:pPr>
            <w:r>
              <w:rPr>
                <w:b w:val="false"/>
                <w:bCs w:val="false"/>
                <w:color w:val="222222"/>
                <w:sz w:val="19"/>
                <w:szCs w:val="19"/>
              </w:rPr>
              <w:t xml:space="preserve">Full entitlement claims baked in (fast, but stale if permissions change intraday) vs identity only with a call-time lookup against the bank’s entitlement store (always current, slight latency). Depends on whether desk/book permissions change intraday.</w:t>
            </w:r>
          </w:p>
        </w:tc>
      </w:tr>
      <w:tr>
        <w:tc>
          <w:tcPr>
            <w:tcW w:type="dxa" w:w="2600"/>
            <w:shd w:fill="F2F5FB" w:color="auto" w:val="clear"/>
            <w:tcMar>
              <w:top w:type="dxa" w:w="60"/>
              <w:left w:type="dxa" w:w="110"/>
              <w:bottom w:type="dxa" w:w="60"/>
              <w:right w:type="dxa" w:w="110"/>
            </w:tcMar>
          </w:tcPr>
          <w:p>
            <w:pPr>
              <w:spacing w:after="20" w:line="248"/>
            </w:pPr>
            <w:r>
              <w:rPr>
                <w:b/>
                <w:bCs/>
                <w:color w:val="1F3864"/>
                <w:sz w:val="19"/>
                <w:szCs w:val="19"/>
              </w:rPr>
              <w:t xml:space="preserve">Bitemporal / as-of model</w:t>
            </w:r>
          </w:p>
        </w:tc>
        <w:tc>
          <w:tcPr>
            <w:tcW w:type="dxa" w:w="64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Whether to carry valid-time + recorded-time, how far back, and the storage cost — set against the regulatory need to reproduce as-reported numbers (§9, §12).</w:t>
            </w:r>
          </w:p>
        </w:tc>
      </w:tr>
      <w:tr>
        <w:tc>
          <w:tcPr>
            <w:tcW w:type="dxa" w:w="2600"/>
            <w:tcMar>
              <w:top w:type="dxa" w:w="60"/>
              <w:left w:type="dxa" w:w="110"/>
              <w:bottom w:type="dxa" w:w="60"/>
              <w:right w:type="dxa" w:w="110"/>
            </w:tcMar>
          </w:tcPr>
          <w:p>
            <w:pPr>
              <w:spacing w:after="20" w:line="248"/>
            </w:pPr>
            <w:r>
              <w:rPr>
                <w:b/>
                <w:bCs/>
                <w:color w:val="1F3864"/>
                <w:sz w:val="19"/>
                <w:szCs w:val="19"/>
              </w:rPr>
              <w:t xml:space="preserve">Definition-version propagation</w:t>
            </w:r>
          </w:p>
        </w:tc>
        <w:tc>
          <w:tcPr>
            <w:tcW w:type="dxa" w:w="6420"/>
            <w:tcMar>
              <w:top w:type="dxa" w:w="60"/>
              <w:left w:type="dxa" w:w="110"/>
              <w:bottom w:type="dxa" w:w="60"/>
              <w:right w:type="dxa" w:w="110"/>
            </w:tcMar>
          </w:tcPr>
          <w:p>
            <w:pPr>
              <w:spacing w:after="20" w:line="248"/>
            </w:pPr>
            <w:r>
              <w:rPr>
                <w:b w:val="false"/>
                <w:bCs w:val="false"/>
                <w:color w:val="222222"/>
                <w:sz w:val="19"/>
                <w:szCs w:val="19"/>
              </w:rPr>
              <w:t xml:space="preserve">Where the effective-dated business-definition version lives and how it is returned with each number.</w:t>
            </w:r>
          </w:p>
        </w:tc>
      </w:tr>
      <w:tr>
        <w:tc>
          <w:tcPr>
            <w:tcW w:type="dxa" w:w="2600"/>
            <w:shd w:fill="F2F5FB" w:color="auto" w:val="clear"/>
            <w:tcMar>
              <w:top w:type="dxa" w:w="60"/>
              <w:left w:type="dxa" w:w="110"/>
              <w:bottom w:type="dxa" w:w="60"/>
              <w:right w:type="dxa" w:w="110"/>
            </w:tcMar>
          </w:tcPr>
          <w:p>
            <w:pPr>
              <w:spacing w:after="20" w:line="248"/>
            </w:pPr>
            <w:r>
              <w:rPr>
                <w:b/>
                <w:bCs/>
                <w:color w:val="1F3864"/>
                <w:sz w:val="19"/>
                <w:szCs w:val="19"/>
              </w:rPr>
              <w:t xml:space="preserve">Build vs buy</w:t>
            </w:r>
          </w:p>
        </w:tc>
        <w:tc>
          <w:tcPr>
            <w:tcW w:type="dxa" w:w="64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Hand-build the semantic + ABAC layer, adopt a product (Cube/dbt, Immuta/Unity Catalog), or hybrid (buy ABAC + catalog, build the view/tool layer). §12.</w:t>
            </w:r>
          </w:p>
        </w:tc>
      </w:tr>
      <w:tr>
        <w:tc>
          <w:tcPr>
            <w:tcW w:type="dxa" w:w="2600"/>
            <w:tcMar>
              <w:top w:type="dxa" w:w="60"/>
              <w:left w:type="dxa" w:w="110"/>
              <w:bottom w:type="dxa" w:w="60"/>
              <w:right w:type="dxa" w:w="110"/>
            </w:tcMar>
          </w:tcPr>
          <w:p>
            <w:pPr>
              <w:spacing w:after="20" w:line="248"/>
            </w:pPr>
            <w:r>
              <w:rPr>
                <w:b/>
                <w:bCs/>
                <w:color w:val="1F3864"/>
                <w:sz w:val="19"/>
                <w:szCs w:val="19"/>
              </w:rPr>
              <w:t xml:space="preserve">Virtualise vs materialise per product</w:t>
            </w:r>
          </w:p>
        </w:tc>
        <w:tc>
          <w:tcPr>
            <w:tcW w:type="dxa" w:w="6420"/>
            <w:tcMar>
              <w:top w:type="dxa" w:w="60"/>
              <w:left w:type="dxa" w:w="110"/>
              <w:bottom w:type="dxa" w:w="60"/>
              <w:right w:type="dxa" w:w="110"/>
            </w:tcMar>
          </w:tcPr>
          <w:p>
            <w:pPr>
              <w:spacing w:after="20" w:line="248"/>
            </w:pPr>
            <w:r>
              <w:rPr>
                <w:b w:val="false"/>
                <w:bCs w:val="false"/>
                <w:color w:val="222222"/>
                <w:sz w:val="19"/>
                <w:szCs w:val="19"/>
              </w:rPr>
              <w:t xml:space="preserve">Per-product, driven by query latency and cost. Default virtualise; justify each materialisation.</w:t>
            </w:r>
          </w:p>
        </w:tc>
      </w:tr>
      <w:tr>
        <w:tc>
          <w:tcPr>
            <w:tcW w:type="dxa" w:w="2600"/>
            <w:shd w:fill="F2F5FB" w:color="auto" w:val="clear"/>
            <w:tcMar>
              <w:top w:type="dxa" w:w="60"/>
              <w:left w:type="dxa" w:w="110"/>
              <w:bottom w:type="dxa" w:w="60"/>
              <w:right w:type="dxa" w:w="110"/>
            </w:tcMar>
          </w:tcPr>
          <w:p>
            <w:pPr>
              <w:spacing w:after="20" w:line="248"/>
            </w:pPr>
            <w:r>
              <w:rPr>
                <w:b/>
                <w:bCs/>
                <w:color w:val="1F3864"/>
                <w:sz w:val="19"/>
                <w:szCs w:val="19"/>
              </w:rPr>
              <w:t xml:space="preserve">Entitlement store integration</w:t>
            </w:r>
          </w:p>
        </w:tc>
        <w:tc>
          <w:tcPr>
            <w:tcW w:type="dxa" w:w="64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Which existing source (LDAP/AD, policy engine) and how it is called from the filter.</w:t>
            </w:r>
          </w:p>
        </w:tc>
      </w:tr>
      <w:tr>
        <w:tc>
          <w:tcPr>
            <w:tcW w:type="dxa" w:w="2600"/>
            <w:tcMar>
              <w:top w:type="dxa" w:w="60"/>
              <w:left w:type="dxa" w:w="110"/>
              <w:bottom w:type="dxa" w:w="60"/>
              <w:right w:type="dxa" w:w="110"/>
            </w:tcMar>
          </w:tcPr>
          <w:p>
            <w:pPr>
              <w:spacing w:after="20" w:line="248"/>
            </w:pPr>
            <w:r>
              <w:rPr>
                <w:b/>
                <w:bCs/>
                <w:color w:val="1F3864"/>
                <w:sz w:val="19"/>
                <w:szCs w:val="19"/>
              </w:rPr>
              <w:t xml:space="preserve">Column masking per field</w:t>
            </w:r>
          </w:p>
        </w:tc>
        <w:tc>
          <w:tcPr>
            <w:tcW w:type="dxa" w:w="6420"/>
            <w:tcMar>
              <w:top w:type="dxa" w:w="60"/>
              <w:left w:type="dxa" w:w="110"/>
              <w:bottom w:type="dxa" w:w="60"/>
              <w:right w:type="dxa" w:w="110"/>
            </w:tcMar>
          </w:tcPr>
          <w:p>
            <w:pPr>
              <w:spacing w:after="20" w:line="248"/>
            </w:pPr>
            <w:r>
              <w:rPr>
                <w:b w:val="false"/>
                <w:bCs w:val="false"/>
                <w:color w:val="222222"/>
                <w:sz w:val="19"/>
                <w:szCs w:val="19"/>
              </w:rPr>
              <w:t xml:space="preserve">Omit vs mask vs null for each sensitive column.</w:t>
            </w:r>
          </w:p>
        </w:tc>
      </w:tr>
      <w:tr>
        <w:tc>
          <w:tcPr>
            <w:tcW w:type="dxa" w:w="2600"/>
            <w:shd w:fill="F2F5FB" w:color="auto" w:val="clear"/>
            <w:tcMar>
              <w:top w:type="dxa" w:w="60"/>
              <w:left w:type="dxa" w:w="110"/>
              <w:bottom w:type="dxa" w:w="60"/>
              <w:right w:type="dxa" w:w="110"/>
            </w:tcMar>
          </w:tcPr>
          <w:p>
            <w:pPr>
              <w:spacing w:after="20" w:line="248"/>
            </w:pPr>
            <w:r>
              <w:rPr>
                <w:b/>
                <w:bCs/>
                <w:color w:val="1F3864"/>
                <w:sz w:val="19"/>
                <w:szCs w:val="19"/>
              </w:rPr>
              <w:t xml:space="preserve">Caching strategy</w:t>
            </w:r>
          </w:p>
        </w:tc>
        <w:tc>
          <w:tcPr>
            <w:tcW w:type="dxa" w:w="6420"/>
            <w:shd w:fill="F2F5FB" w:color="auto" w:val="clear"/>
            <w:tcMar>
              <w:top w:type="dxa" w:w="60"/>
              <w:left w:type="dxa" w:w="110"/>
              <w:bottom w:type="dxa" w:w="60"/>
              <w:right w:type="dxa" w:w="110"/>
            </w:tcMar>
          </w:tcPr>
          <w:p>
            <w:pPr>
              <w:spacing w:after="20" w:line="248"/>
            </w:pPr>
            <w:r>
              <w:rPr>
                <w:b w:val="false"/>
                <w:bCs w:val="false"/>
                <w:color w:val="222222"/>
                <w:sz w:val="19"/>
                <w:szCs w:val="19"/>
              </w:rPr>
              <w:t xml:space="preserve">Entitlement-aware cache keys vs no caching of row data.</w:t>
            </w:r>
          </w:p>
        </w:tc>
      </w:tr>
      <w:tr>
        <w:tc>
          <w:tcPr>
            <w:tcW w:type="dxa" w:w="2600"/>
            <w:tcMar>
              <w:top w:type="dxa" w:w="60"/>
              <w:left w:type="dxa" w:w="110"/>
              <w:bottom w:type="dxa" w:w="60"/>
              <w:right w:type="dxa" w:w="110"/>
            </w:tcMar>
          </w:tcPr>
          <w:p>
            <w:pPr>
              <w:spacing w:after="20" w:line="248"/>
            </w:pPr>
            <w:r>
              <w:rPr>
                <w:b/>
                <w:bCs/>
                <w:color w:val="1F3864"/>
                <w:sz w:val="19"/>
                <w:szCs w:val="19"/>
              </w:rPr>
              <w:t xml:space="preserve">Small-cell suppression</w:t>
            </w:r>
          </w:p>
        </w:tc>
        <w:tc>
          <w:tcPr>
            <w:tcW w:type="dxa" w:w="6420"/>
            <w:tcMar>
              <w:top w:type="dxa" w:w="60"/>
              <w:left w:type="dxa" w:w="110"/>
              <w:bottom w:type="dxa" w:w="60"/>
              <w:right w:type="dxa" w:w="110"/>
            </w:tcMar>
          </w:tcPr>
          <w:p>
            <w:pPr>
              <w:spacing w:after="20" w:line="248"/>
            </w:pPr>
            <w:r>
              <w:rPr>
                <w:b w:val="false"/>
                <w:bCs w:val="false"/>
                <w:color w:val="222222"/>
                <w:sz w:val="19"/>
                <w:szCs w:val="19"/>
              </w:rPr>
              <w:t xml:space="preserve">Which aggregate-only products need it against inference attacks.</w:t>
            </w:r>
          </w:p>
        </w:tc>
      </w:tr>
    </w:tbl>
    <w:p>
      <w:pPr>
        <w:pStyle w:val="Heading1"/>
        <w:spacing w:after="140" w:before="320"/>
      </w:pPr>
      <w:r>
        <w:rPr>
          <w:b/>
          <w:bCs/>
          <w:color w:val="1F3864"/>
          <w:sz w:val="30"/>
          <w:szCs w:val="30"/>
        </w:rPr>
        <w:t xml:space="preserve">15.  Next steps</w:t>
      </w:r>
    </w:p>
    <w:p>
      <w:pPr>
        <w:pStyle w:val="ListParagraph"/>
        <w:numPr>
          <w:ilvl w:val="0"/>
          <w:numId w:val="2"/>
        </w:numPr>
        <w:spacing w:after="70" w:line="258"/>
      </w:pPr>
      <w:r>
        <w:rPr>
          <w:color w:val="222222"/>
          <w:sz w:val="21"/>
          <w:szCs w:val="21"/>
        </w:rPr>
        <w:t xml:space="preserve">Settle the two first-order decisions: enforcement model (pre-filter + DB RLS) and identity propagation (what the token carries).</w:t>
      </w:r>
    </w:p>
    <w:p>
      <w:pPr>
        <w:pStyle w:val="ListParagraph"/>
        <w:numPr>
          <w:ilvl w:val="0"/>
          <w:numId w:val="2"/>
        </w:numPr>
        <w:spacing w:after="70" w:line="258"/>
      </w:pPr>
      <w:r>
        <w:rPr>
          <w:color w:val="222222"/>
          <w:sz w:val="21"/>
          <w:szCs w:val="21"/>
        </w:rPr>
        <w:t xml:space="preserve">Specify the first data product end-to-end (contract + its 3–5 tool schemas) as the reusable template.</w:t>
      </w:r>
    </w:p>
    <w:p>
      <w:pPr>
        <w:pStyle w:val="ListParagraph"/>
        <w:numPr>
          <w:ilvl w:val="0"/>
          <w:numId w:val="2"/>
        </w:numPr>
        <w:spacing w:after="70" w:line="258"/>
      </w:pPr>
      <w:r>
        <w:rPr>
          <w:color w:val="222222"/>
          <w:sz w:val="21"/>
          <w:szCs w:val="21"/>
        </w:rPr>
        <w:t xml:space="preserve">Stand up one domain access service with both adapters over that product; prove the entitlement filter on every pull from both faces.</w:t>
      </w:r>
    </w:p>
    <w:p>
      <w:pPr>
        <w:pStyle w:val="ListParagraph"/>
        <w:numPr>
          <w:ilvl w:val="0"/>
          <w:numId w:val="2"/>
        </w:numPr>
        <w:spacing w:after="70" w:line="258"/>
      </w:pPr>
      <w:r>
        <w:rPr>
          <w:color w:val="222222"/>
          <w:sz w:val="21"/>
          <w:szCs w:val="21"/>
        </w:rPr>
        <w:t xml:space="preserve">Publish the product to the registry; onboard one real consumer to validate self-service discovery.</w:t>
      </w:r>
    </w:p>
    <w:p>
      <w:pPr>
        <w:pBdr>
          <w:top w:val="single" w:color="D9E1F2" w:sz="6"/>
        </w:pBdr>
        <w:spacing w:before="240"/>
      </w:pPr>
      <w:r>
        <w:rPr>
          <w:i/>
          <w:iCs/>
          <w:color w:val="595959"/>
          <w:sz w:val="18"/>
          <w:szCs w:val="18"/>
        </w:rPr>
        <w:t xml:space="preserve">End of handover.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Product Serving Layer — Design Handover</dc:title>
  <dc:creator>Vikkas Arun Pareek</dc:creator>
  <cp:lastModifiedBy>Un-named</cp:lastModifiedBy>
  <cp:revision>1</cp:revision>
  <dcterms:created xsi:type="dcterms:W3CDTF">2026-09-18T18:51:41.130Z</dcterms:created>
  <dcterms:modified xsi:type="dcterms:W3CDTF">2026-09-18T18:51:41.139Z</dcterms:modified>
</cp:coreProperties>
</file>

<file path=docProps/custom.xml><?xml version="1.0" encoding="utf-8"?>
<Properties xmlns="http://schemas.openxmlformats.org/officeDocument/2006/custom-properties" xmlns:vt="http://schemas.openxmlformats.org/officeDocument/2006/docPropsVTypes"/>
</file>