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071"/>
            <w:shd w:val="clear" w:color="auto" w:fill="1F4E79"/>
          </w:tcPr>
          <w:p>
            <w:pPr>
              <w:spacing w:before="400" w:after="120"/>
              <w:jc w:val="center"/>
            </w:pPr>
            <w:r>
              <w:rPr>
                <w:rFonts w:ascii="맑은 고딕" w:hAnsi="맑은 고딕"/>
                <w:b/>
                <w:color w:val="FFFFFF"/>
                <w:sz w:val="24"/>
              </w:rPr>
              <w:t>딥러닝 프로젝트</w:t>
            </w:r>
          </w:p>
          <w:p>
            <w:pPr>
              <w:spacing w:before="0" w:after="160"/>
              <w:jc w:val="center"/>
            </w:pPr>
            <w:r>
              <w:rPr>
                <w:rFonts w:ascii="맑은 고딕" w:hAnsi="맑은 고딕"/>
                <w:b/>
                <w:color w:val="FFFFFF"/>
                <w:sz w:val="44"/>
              </w:rPr>
              <w:t>AI 개발 수행내역서</w:t>
            </w:r>
          </w:p>
          <w:p>
            <w:pPr>
              <w:spacing w:before="0" w:after="400"/>
              <w:jc w:val="center"/>
            </w:pPr>
            <w:r>
              <w:rPr>
                <w:rFonts w:ascii="Arial" w:hAnsi="Arial"/>
                <w:i/>
                <w:color w:val="BDD7EE"/>
                <w:sz w:val="22"/>
              </w:rPr>
              <w:t>AI-Based Bearing RUL Prediction System</w:t>
            </w:r>
          </w:p>
        </w:tc>
      </w:tr>
    </w:tbl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p>
      <w:pPr>
        <w:spacing w:before="0" w:after="0"/>
        <w:jc w:val="lef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과 제 명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AI 기반 베어링 잔여수명(RUL) 예측 모델 개발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담 당 자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허남</w:t>
            </w:r>
          </w:p>
        </w:tc>
      </w:tr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2"/>
              </w:rPr>
              <w:t>작 성 일</w:t>
            </w:r>
          </w:p>
        </w:tc>
        <w:tc>
          <w:tcPr>
            <w:tcW w:type="dxa" w:w="5669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2"/>
              </w:rPr>
              <w:t>2026. 06. 29.</w:t>
            </w:r>
          </w:p>
        </w:tc>
      </w:tr>
    </w:tbl>
    <w:p>
      <w:r>
        <w:br w:type="page"/>
      </w:r>
    </w:p>
    <w:p>
      <w:pPr>
        <w:spacing w:after="320"/>
        <w:jc w:val="center"/>
      </w:pPr>
      <w:r>
        <w:rPr>
          <w:rFonts w:ascii="맑은 고딕" w:hAnsi="맑은 고딕"/>
          <w:b/>
          <w:color w:val="1F4E79"/>
          <w:sz w:val="28"/>
        </w:rPr>
        <w:t>목  차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Ⅰ. AI 개발 수행내용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개요 및 현황</w:t>
      </w:r>
      <w:r>
        <w:rPr>
          <w:rFonts w:ascii="맑은 고딕" w:hAnsi="맑은 고딕"/>
          <w:b w:val="0"/>
          <w:color w:val="000000"/>
          <w:sz w:val="20"/>
        </w:rPr>
        <w:tab/>
        <w:t>3</w:t>
      </w:r>
    </w:p>
    <w:p>
      <w:pPr>
        <w:spacing w:before="40" w:after="80"/>
      </w:pPr>
      <w:r>
        <w:rPr>
          <w:rFonts w:ascii="맑은 고딕" w:hAnsi="맑은 고딕"/>
          <w:b/>
          <w:color w:val="1F4E79"/>
          <w:sz w:val="22"/>
        </w:rPr>
        <w:t>Ⅱ. 연구개발 주요 결과물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1. 데이터 수집</w:t>
      </w:r>
      <w:r>
        <w:rPr>
          <w:rFonts w:ascii="맑은 고딕" w:hAnsi="맑은 고딕"/>
          <w:b w:val="0"/>
          <w:color w:val="000000"/>
          <w:sz w:val="20"/>
        </w:rPr>
        <w:tab/>
        <w:t>5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2. 탐색적 데이터 분석 (EDA)</w:t>
      </w:r>
      <w:r>
        <w:rPr>
          <w:rFonts w:ascii="맑은 고딕" w:hAnsi="맑은 고딕"/>
          <w:b w:val="0"/>
          <w:color w:val="000000"/>
          <w:sz w:val="20"/>
        </w:rPr>
        <w:tab/>
        <w:t>6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3. 데이터 전처리 및 피처 엔지니어링</w:t>
      </w:r>
      <w:r>
        <w:rPr>
          <w:rFonts w:ascii="맑은 고딕" w:hAnsi="맑은 고딕"/>
          <w:b w:val="0"/>
          <w:color w:val="000000"/>
          <w:sz w:val="20"/>
        </w:rPr>
        <w:tab/>
        <w:t>8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4. 학습 및 모델 평가</w:t>
      </w:r>
      <w:r>
        <w:rPr>
          <w:rFonts w:ascii="맑은 고딕" w:hAnsi="맑은 고딕"/>
          <w:b w:val="0"/>
          <w:color w:val="000000"/>
          <w:sz w:val="20"/>
        </w:rPr>
        <w:tab/>
        <w:t>9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5. Streamlit 웹 애플리케이션 프로토타입</w:t>
      </w:r>
      <w:r>
        <w:rPr>
          <w:rFonts w:ascii="맑은 고딕" w:hAnsi="맑은 고딕"/>
          <w:b w:val="0"/>
          <w:color w:val="000000"/>
          <w:sz w:val="20"/>
        </w:rPr>
        <w:tab/>
        <w:t>12</w:t>
      </w:r>
    </w:p>
    <w:p>
      <w:pPr>
        <w:spacing w:before="40" w:after="80"/>
        <w:ind w:left="567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6. 결과 요약 및 향후 방향</w:t>
      </w:r>
      <w:r>
        <w:rPr>
          <w:rFonts w:ascii="맑은 고딕" w:hAnsi="맑은 고딕"/>
          <w:b w:val="0"/>
          <w:color w:val="000000"/>
          <w:sz w:val="20"/>
        </w:rPr>
        <w:tab/>
        <w:t>14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A. 성능 개선 실험 (Performance Improvement)</w:t>
      </w:r>
      <w:r>
        <w:rPr>
          <w:rFonts w:ascii="맑은 고딕" w:hAnsi="맑은 고딕"/>
          <w:b w:val="0"/>
          <w:color w:val="000000"/>
          <w:sz w:val="20"/>
        </w:rPr>
        <w:tab/>
        <w:t>16</w:t>
      </w:r>
    </w:p>
    <w:p>
      <w:pPr>
        <w:spacing w:before="40" w:after="80"/>
        <w:tabs>
          <w:tab w:val="right" w:leader="dot" w:pos="9072"/>
        </w:tabs>
      </w:pPr>
      <w:r>
        <w:rPr>
          <w:rFonts w:ascii="맑은 고딕" w:hAnsi="맑은 고딕"/>
          <w:b w:val="0"/>
          <w:color w:val="000000"/>
          <w:sz w:val="20"/>
        </w:rPr>
        <w:t>부록 B. 데이터 프로파일링 리포트</w:t>
      </w:r>
      <w:r>
        <w:rPr>
          <w:rFonts w:ascii="맑은 고딕" w:hAnsi="맑은 고딕"/>
          <w:b w:val="0"/>
          <w:color w:val="000000"/>
          <w:sz w:val="20"/>
        </w:rPr>
        <w:tab/>
        <w:t>18</w:t>
      </w:r>
    </w:p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Ⅰ. AI 개발 수행내용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개요 및 현황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1.1 추진배경 및 목적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제조 설비에서 베어링은 핸심 회전 부품으로, 예고 없는 파손은 생산 라인 전체 정지로 이어집니다. 기존 정기 점검(PM) 방식은 실제 열화 상태를 반영하지 못하고 과잌/과소 점검이 반복되는 한계가 있습니다.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본 프로젝트는 딥러닝(GRU)으로 FEMTO-ST 베어링 진동 신호에서 잔여수명(RUL)을 정량 예측하고, 현장 담당자가 즉시 활용할 수 있는 웹 기반 예지보전(PdM) 시스템을 구축하는 것을 목표로 합니다.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핵심 목표: </w:t>
      </w:r>
      <w:r>
        <w:rPr>
          <w:rFonts w:ascii="맑은 고딕" w:hAnsi="맑은 고딕"/>
          <w:b w:val="0"/>
          <w:sz w:val="20"/>
        </w:rPr>
        <w:t>고장 전 RUL 정량 예측 → 비계획 정지 최소화 → 유지보수 비용 절감</w:t>
      </w:r>
    </w:p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성과 지표: </w:t>
      </w:r>
      <w:r>
        <w:rPr>
          <w:rFonts w:ascii="맑은 고딕" w:hAnsi="맑은 고딕"/>
          <w:b w:val="0"/>
          <w:sz w:val="20"/>
        </w:rPr>
        <w:t>OOS RMSE &lt; 900분, RF 대비 개선율 &gt; 10%, Streamlit 응답 &lt; 2초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1.2 과제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과제 구분</w:t>
            </w:r>
          </w:p>
        </w:tc>
        <w:tc>
          <w:tcPr>
            <w:tcW w:type="dxa" w:w="538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IEEE PHM 2012</w:t>
              <w:br/>
              <w:t>Bearing1_1~3_3 포함 17개 베어링, Condition 1~3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공개 데이터셋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개발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GRU(최종) + LSTM/BiLSTM/1D-CNN/CNN-LSTM(비교)</w:t>
              <w:br/>
              <w:t>BN+LN 정규화, 하이퍼파라미터 그리드서치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TensorFlow 2.x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시스템 구현</w:t>
            </w:r>
          </w:p>
        </w:tc>
        <w:tc>
          <w:tcPr>
            <w:tcW w:type="dxa" w:w="538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웹앱: 5탭 (데이터 탐색/ML성능/DL RUL예측/통합진단/아키텍처비교)</w:t>
              <w:br/>
              <w:t>실시간 RUL 경보 + 임계값 조정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Cloud 배포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배포·운영</w:t>
            </w:r>
          </w:p>
        </w:tc>
        <w:tc>
          <w:tcPr>
            <w:tcW w:type="dxa" w:w="538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GitHub 버전 관리, Streamlit Community Cloud 공개 URL</w:t>
              <w:br/>
              <w:t>7일 비활성 시 슬립 → URL 재접속으로 재시작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24시간 공개 운영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1.3 과제 추진 방법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1) 구축 대상 선정 기준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IEEE PHM 2012 Challenge 표준 벤치마크 → 재현성·선행연구 비교 용이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run-to-failure 방식 실측 데이터 → 라벨 생성 없이 정확한 RUL 회귀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진동(수평·수직) + 온도 3채널 → 9개 기본 피처 + 3개 물리 파생 피처 구성 가능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Condition별 베어링 분리 → GroupKFold로 데이터 누수(리크없) 완전 차단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2) AI 예측 분석모델 적용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적용 대상</w:t>
            </w:r>
          </w:p>
        </w:tc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입력 피처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출력 결과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활용 시나리오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산업용 베어링</w:t>
              <w:br/>
              <w:t>(FEMTO-ST 기준)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h_rms/kurt/skew/crest</w:t>
              <w:br/>
              <w:t>v_rms/kurt/skew/crest</w:t>
              <w:br/>
              <w:t>temp_mean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잔여수명 RUL(분)</w:t>
              <w:br/>
              <w:t>경보 등급(정상/주의/위험)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센서값 실시간 입력</w:t>
              <w:br/>
              <w:t>→ RUL 예측 → 점검 시기 결정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 회전기계</w:t>
              <w:br/>
              <w:t>(확장 가능)</w:t>
            </w:r>
          </w:p>
        </w:tc>
        <w:tc>
          <w:tcPr>
            <w:tcW w:type="dxa" w:w="28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9개 피처 구조 적용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출력 형식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CSV 일괄 업로드로 복수 설비 동시 진단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3) AI 분석모델 구축 프로세스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① 데이터 수집</w:t>
            </w:r>
          </w:p>
        </w:tc>
        <w:tc>
          <w:tcPr>
            <w:tcW w:type="dxa" w:w="147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② EDA 분석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③ 전처리·피처공학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④ 모델 학습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⑤ 성능 평가</w:t>
            </w:r>
          </w:p>
        </w:tc>
        <w:tc>
          <w:tcPr>
            <w:tcW w:type="dxa" w:w="124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⑥ 배포·서비스</w:t>
            </w:r>
          </w:p>
        </w:tc>
      </w:tr>
      <w:tr>
        <w:tc>
          <w:tcPr>
            <w:tcW w:type="dxa" w:w="147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FEMTO-ST</w:t>
              <w:br/>
              <w:t>IEEE PHM</w:t>
              <w:br/>
              <w:t>공개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트렌드</w:t>
              <w:br/>
              <w:t>피처 상관</w:t>
              <w:br/>
              <w:t>RUL 분포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슬라이딩 윈도우</w:t>
              <w:br/>
              <w:t>MinMaxScaler</w:t>
              <w:br/>
              <w:t>VIF 선택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v2+비교 4종</w:t>
              <w:br/>
              <w:t>BN+LN 정규화</w:t>
              <w:br/>
              <w:t>그리드서치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RMSE·MAE</w:t>
              <w:br/>
              <w:t>OOS 검증</w:t>
              <w:br/>
              <w:t>RF 대비 개선율</w:t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</w:t>
              <w:br/>
              <w:t>5탭 대시보드</w:t>
              <w:br/>
              <w:t>Cloud 배포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Ⅱ. 연구개발 주요 결과물</w:t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1. 데이터 수집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70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데이터셋명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PRONOSTIA Bearing Dataset (IEEE PHM 2012 Challenge)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출제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FEMTO-ST Institute, Besançon, France — 공개 배포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 수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정 17개 베어링</w:t>
              <w:br/>
              <w:t xml:space="preserve">  • Learning_set: 6개 (train 3 + demo 3)</w:t>
              <w:br/>
              <w:t xml:space="preserve">  • Full_Test_Set: 11개 (test, Condition 1~3)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운전 조건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1800rpm / 4kN (Bearing1_1~1_7)</w:t>
              <w:br/>
              <w:t>Condition 2: 1650rpm / 4.2kN (Bearing2_1~2_7)</w:t>
              <w:br/>
              <w:t>Condition 3: 1500rpm / 5kN (Bearing3_1~3_3)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측정 간격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(acc/temp CSV 쌍), 각 CSV당 25,600 샘플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채널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수평(h_acc) + 수직(v_acc) 가속도, 온도(°C)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라이센스</w:t>
            </w:r>
          </w:p>
        </w:tc>
        <w:tc>
          <w:tcPr>
            <w:tcW w:type="dxa" w:w="70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연구·교육 목적 공개 사용 가능</w:t>
            </w:r>
          </w:p>
        </w:tc>
      </w:tr>
    </w:tbl>
    <w:p>
      <w:pPr>
        <w:spacing w:before="0" w:after="120"/>
        <w:jc w:val="left"/>
      </w:pP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입력 피처 명세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피처명</w:t>
            </w:r>
          </w:p>
        </w:tc>
        <w:tc>
          <w:tcPr>
            <w:tcW w:type="dxa" w:w="215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설명</w:t>
            </w:r>
          </w:p>
        </w:tc>
        <w:tc>
          <w:tcPr>
            <w:tcW w:type="dxa" w:w="1020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30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도메인 의미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진동 에너지 크기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(≥3 이상 = 결함 신호)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분포 비대칭 — 초기 결함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수평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 —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RMS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진동 에너지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Kurtosis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충격성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가속도 Skewness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분포 비대칭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Crest Factor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피크 충격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평균 (°C)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— 열화 진행 지시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 + v_rms²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송 진동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215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× h_kurt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건강 지수 (크기×충격성 복합)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215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 / v_rms</w:t>
            </w:r>
          </w:p>
        </w:tc>
        <w:tc>
          <w:tcPr>
            <w:tcW w:type="dxa" w:w="1020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430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방향 불균형 — 베어링 편마모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RUL 라벨 생성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FEMTO-ST는 run-to-failure 방식으로 수집된 실측 데이터입니다.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rul = total_snapshots - minute   # (분 단위 선형 감소)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열화 감지 임계값: 초기 10분 h_rms 평균 × 2.5 → 초과 시 열화(label=1)로 표시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2. 탐색적 데이터 분석 (EDA)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2.1 피처 트렌드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81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초기 (정상 구간)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말기 (열화 구간)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트렌드 방향</w:t>
            </w:r>
          </w:p>
        </w:tc>
        <w:tc>
          <w:tcPr>
            <w:tcW w:type="dxa" w:w="238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예측 기여도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 (0.02~0.05)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3.0~4.0 (정규)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5.0 이상 급등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매우 높음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★★★★ 높음 (파생)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상승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★★★☆ 높음 (파생)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상온 (~25°C)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서서히 상승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↑ 완만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★★☆☆ 보통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81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변동 증가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↕ 불규칙</w:t>
            </w:r>
          </w:p>
        </w:tc>
        <w:tc>
          <w:tcPr>
            <w:tcW w:type="dxa" w:w="238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★☆☆☆ 낙음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br/>
        <w:t>EDA 인사이트: h_rms와 h_kurt의 복합 지수(health_idx = h_rms × h_kurt)가 단일 피처보다 RUL 예측에 더 강한 신호를 제공합니다. 초기 정상 구간에서 낙은 값을 유지하다 말기 약 20~30% 구간에서 급격히 상승하는 비선형 패턴이 확인됩니다.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2.2 RUL 분포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범위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0~약 2,800분 (베어링별 수명 상이)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분포 특성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오른쪽 편향 (초기 정상 구간 데이터 비율이 높음)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스케일 불균형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베어링간 수명 편차 크므로 MinMaxScaler 독립 적용 필수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시계열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순차적 시계열 데이터 → 슬라이딩 윈도우 시퀀스 변환 필요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그룹 분리 필요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동일 베어링 데이터 중복 학습 방지 → GroupKFold 적용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2.3 피처 간 상관 분석 (VIF)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VIF(Variance Inflation Factor) 분석으로 다중공선성을 진단하고 최종 입력 피처를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VIF 값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~1.9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v_kurt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v_skew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v_crest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~3.3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~8.5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~6.2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rms_ratio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~2.8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양호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선택 (파생)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모든 피처 VIF &lt; 10 → 다중공선성 문제 없음, 12개 피처 전체 선택 사용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3. 데이터 전처리 및 피처 엔지니어링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3.1 전처리 파이프라인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78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처리 내용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결과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피처 추출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acc_*.csv 파일별 수평/수직 진동 신호 → RMS, Kurtosis, Skewness, Crest Factor 추출</w:t>
              <w:br/>
              <w:t>temp_*.csv → 온도 평균값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스냅샷당 9개 기본 피처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물리 파생 피처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energy = h_rms² + v_rms²</w:t>
              <w:br/>
              <w:t>health_idx = h_rms × h_kurt</w:t>
              <w:br/>
              <w:t>rms_ratio = h_rms / v_rms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최종 피처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온도 결측 처리</w:t>
              <w:br/>
              <w:t>(temp_mean)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발생 원인: temp_*.csv 파일 누락 시 NaN 생성 (h/v 진동 피처는 acc 파일만 사용하므로 결측 없음)</w:t>
              <w:br/>
              <w:t>처리 3단계:</w:t>
              <w:br/>
              <w:t xml:space="preserve">  ① 베어링별 선형 보간 interpolate(method='linear') — 시계열 연속성 보존</w:t>
              <w:br/>
              <w:t xml:space="preserve">  ② 양방향 채움 bfill().ffill() — 시작·끝 결측 처리</w:t>
              <w:br/>
              <w:t xml:space="preserve">  ③ 전체 중앙값 fillna(median()) — 해당 베어링 온도 파일 전무 시 최후 수단</w:t>
              <w:br/>
              <w:t>SimpleImputer 미사용: 전역 평균은 시계열 경향성(온도 상승 패턴)을 무시하므로 부적합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결측값 0건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VIF 분석</w:t>
            </w:r>
          </w:p>
        </w:tc>
        <w:tc>
          <w:tcPr>
            <w:tcW w:type="dxa" w:w="578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statsmodels VIF 계산 → VIF &lt; 10 기준 피처 선택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12개 피처 전체 선택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분리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train: Learning_set 3개 베어링, test: Full_Test_Set 11개 베어링</w:t>
              <w:br/>
              <w:t>(시간적 순서 보존, train/test 베어링 완전 분리)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 누수 차단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핵심 소스 — 피처 추출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def _extract_features_from_signal(signal: np.ndarray) -&gt; dict:</w:t>
        <w:br/>
        <w:t xml:space="preserve">    rms   = float(np.sqrt(np.mean(signal ** 2)))</w:t>
        <w:br/>
        <w:t xml:space="preserve">    peak  = float(np.max(np.abs(signal)))</w:t>
        <w:br/>
        <w:t xml:space="preserve">    kurt  = float(stats.kurtosis(signal, fisher=True) + 3)</w:t>
        <w:br/>
        <w:t xml:space="preserve">    skew  = float(stats.skew(signal))</w:t>
        <w:br/>
        <w:t xml:space="preserve">    crest = float(peak / (rms + 1e-10))</w:t>
        <w:br/>
        <w:t xml:space="preserve">    return {"rms": rms, "kurt": kurt, "skew": skew, "crest": crest}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3.2 시퀀스 생성 — 슬라이딩 윈도우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근거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 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 (분)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그리드서치 [20, 30, 50] 중 OOS RMSE 최소 → 20 선택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Stride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 (분)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1분 간격 스냅샷 → stride=1이 최대 학습 샘플 확보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X shape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 20, 12)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N=시퀀스 수, 20=윈도우, 12=피처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 shape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(N,)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끝 다음 시점 RUL 값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Group key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 이름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GroupKFold에서 베어링 단위 분리 기준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3.3 스케일링 전략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seq_scaler = MinMaxScaler()   # X 스케일러</w:t>
        <w:br/>
        <w:t>X_tr_sc = seq_scaler.fit_transform(X_tr.reshape(-1, n_feat)).reshape(X_tr.shape)</w:t>
        <w:br/>
        <w:t>X_te_sc = seq_scaler.transform(X_te.reshape(-1, n_feat)).reshape(X_te.shape)</w:t>
        <w:br/>
        <w:br/>
        <w:t>y_scaler = MinMaxScaler()     # y 스케일러 (독립)</w:t>
        <w:br/>
        <w:t>y_tr_sc  = y_scaler.fit_transform(y_tr.reshape(-1, 1)).flatten()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X·y를 독립 스케일링하는 이유: RUL 값의 베어링간 편차(0~2,800분)가 크므로, 피처와 함께 스케일링하면 역정규화 시 RUL 범위가 왜곡됩니다.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4. 학습 및 모델 평가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4.1 학습 환경 및 데이터 분할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설정값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학습/검증 분할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GroupKFold(n=3) — 베어링 단위 분리 (시계열 누수 차단)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훈련 베어링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Bearing1_1, Bearing2_1, Bearing3_1 (3개, Condition 1~3 각 1개)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테스트 베어링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Full_Test_Set 11개 베어링 (OOS 최종 평가)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평가 지표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RMSE (분 단위), MAE (분 단위) — 역정규화 후 원래 단위로 산출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손실 함수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MSE (mean_squared_error) — RUL 회귀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조기 종료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EarlyStopping(monitor='val_loss', patience=10, restore_best_weights=True)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체크포인트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ModelCheckpoint(save_best_only=True, monitor='val_loss', mode='min')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개발 환경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Python 3.11 / TensorFlow 2.x / scikit-learn / Streamlit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4.2 DL 아키텍처 5종 비교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동일한 GroupKFold CV 및 OOS(Full_Test_Set) 평가 조건에서 5종 아키텍처를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(채택 ★)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GRU 최종 선정 이유: </w:t>
      </w:r>
      <w:r>
        <w:rPr>
          <w:rFonts w:ascii="맑은 고딕" w:hAnsi="맑은 고딕"/>
          <w:b w:val="0"/>
          <w:sz w:val="20"/>
        </w:rPr>
        <w:t>OOS RMSE 909.96으로 5종 중 최저. 파라미터 수 적음, 인과 관계 있는 예지보전 특성상 BiLSTM 우위 없음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4.3 RF 베이스라인 대비 DL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베이스라인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954.52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757.71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마지막 타임스텝 피처만 사용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LSTM 초기 모델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934.01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767.09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+2.15% (미미)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아키텍처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+4.67%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최종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개선율 +15.08% 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4.4 하이퍼파라미터 그리드서치 (27조합)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파라미터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탐색 범위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최적값</w:t>
            </w:r>
          </w:p>
        </w:tc>
        <w:tc>
          <w:tcPr>
            <w:tcW w:type="dxa" w:w="311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선정 근거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window_size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[20, 30, 50]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윈도우 짧을수록 OOS 일반화 우수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units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[32, 64, 128]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311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소형 모델이 과적합 억제 효과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dropout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[0.1, 0.2, 0.3]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과도한 dropout이 오히려 성능 저하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그리드서치 최적 OOS RMSE: 956.05 (window=20, units=32, dropout=0.1)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4.5 옵티마이저 비교 (Adam / Nadam / AdamW)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 여부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기본값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최저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4.6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 (분)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학습 Epoch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 ★)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배치 크기 16이 가장 낙은 OOS RMSE 836.60 달성. 작은 배치로 gradient noise가 regularization 역할을 하여 일반화 성능이 향상됩니다.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4.7 정규화 효과 — GRU v1 vs v2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아키텍처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36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학습 Epoch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Dropout → GRU → Dense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58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(채택 ★)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→ LayerNorm → Dropout → GRU → LayerNorm → BatchNorm → Dense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36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</w:tr>
    </w:tbl>
    <w:p>
      <w:pPr>
        <w:spacing w:before="80" w:after="40"/>
        <w:ind w:left="0"/>
      </w:pPr>
      <w:r>
        <w:rPr>
          <w:rFonts w:ascii="맑은 고딕" w:hAnsi="맑은 고딕"/>
          <w:b/>
          <w:color w:val="1F4E79"/>
          <w:sz w:val="20"/>
        </w:rPr>
        <w:t xml:space="preserve">개선율: </w:t>
      </w:r>
      <w:r>
        <w:rPr>
          <w:rFonts w:ascii="맑은 고딕" w:hAnsi="맑은 고딕"/>
          <w:b w:val="0"/>
          <w:sz w:val="20"/>
        </w:rPr>
        <w:t>16.75% RMSE 감소 (973.47 → 810.38) — LayerNorm이 배치 의존 없이 시퀀스 내 정규화, BatchNorm이 특성 분포 안정화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4.8 최종 모델 구성 (GRU v2)</w:t>
      </w:r>
    </w:p>
    <w:p>
      <w:pPr>
        <w:spacing w:before="60" w:after="60"/>
        <w:ind w:left="283"/>
        <w:shd w:val="clear" w:color="auto" w:fill="F0F0F0"/>
      </w:pPr>
      <w:r>
        <w:rPr>
          <w:rFonts w:ascii="Courier New" w:hAnsi="Courier New"/>
          <w:color w:val="007020"/>
          <w:sz w:val="18"/>
        </w:rPr>
        <w:t>model = Sequential([</w:t>
        <w:br/>
        <w:t xml:space="preserve">    Input(shape=(20, 12)),</w:t>
        <w:br/>
        <w:t xml:space="preserve">    GRU(32, return_sequences=True),</w:t>
        <w:br/>
        <w:t xml:space="preserve">    LayerNormalization(),</w:t>
        <w:br/>
        <w:t xml:space="preserve">    Dropout(0.1),</w:t>
        <w:br/>
        <w:t xml:space="preserve">    GRU(16),</w:t>
        <w:br/>
        <w:t xml:space="preserve">    LayerNormalization(),</w:t>
        <w:br/>
        <w:t xml:space="preserve">    BatchNormalization(),</w:t>
        <w:br/>
        <w:t xml:space="preserve">    Dense(32, activation='relu'),</w:t>
        <w:br/>
        <w:t xml:space="preserve">    Dropout(0.1),</w:t>
        <w:br/>
        <w:t xml:space="preserve">    Dense(1),</w:t>
        <w:br/>
        <w:t>], name='GRU_v2_BN_LN')</w:t>
        <w:br/>
        <w:br/>
        <w:t>model.compile(optimizer=Adam(1e-3), loss='mse', metrics=['mae'])</w:t>
        <w:br/>
        <w:br/>
        <w:t>callbacks = [</w:t>
        <w:br/>
        <w:t xml:space="preserve">    EarlyStopping(monitor='val_loss', patience=10, restore_best_weights=True),</w:t>
        <w:br/>
        <w:t xml:space="preserve">    ModelCheckpoint(ckpt_path, monitor='val_loss', save_best_only=True, mode='min'),</w:t>
        <w:br/>
        <w:t>]</w:t>
      </w:r>
    </w:p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5. Streamlit 웹 애플리케이션 프로토타입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FEMTO-ST 베어링 예지보전 시스템은 Streamlit으로 구축된 브라우저 기반 웹앱으로, Streamlit Community Cloud에 공개 배포되어 있습니다.</w:t>
      </w:r>
    </w:p>
    <w:p>
      <w:pPr>
        <w:spacing w:before="40" w:after="120"/>
      </w:pPr>
      <w:r>
        <w:rPr>
          <w:rFonts w:ascii="맑은 고딕" w:hAnsi="맑은 고딕"/>
          <w:b/>
          <w:sz w:val="20"/>
        </w:rPr>
        <w:t xml:space="preserve">배포 URL: </w:t>
      </w:r>
      <w:r>
        <w:rPr>
          <w:rFonts w:ascii="맑은 고딕" w:hAnsi="맑은 고딕"/>
          <w:b w:val="0"/>
          <w:color w:val="2E75B6"/>
          <w:sz w:val="20"/>
          <w:u w:val="single"/>
        </w:rPr>
        <w:t>https://dlfactoryautomation.streamlit.app/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5.1 시스템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계층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역할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UI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(app/streamlit_app.py), 5탭 레이아웃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데이터탐색/ML성능/DL RUL예측/통합진단/아키텍처비교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비즈니스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src/femto_preprocess.py, femto_ml.py, femto_dl_rul.py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 파이프라인, ML/DL 예측, RUL 추론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모델 계층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models/*.keras (GRU v2), models/*.pkl (RF, Scaler)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캐시 → 즉시 추론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계층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data/FEMTO_processed/femto_features.csv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전처리된 피처 파일 — 재실행 불필요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인프라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Streamlit Community Cloud, GitHub 연동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자동 배포, 7일 비활성 슬립 정책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5.2 사이드바 — 진단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구성 요소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기본값</w:t>
            </w:r>
          </w:p>
        </w:tc>
        <w:tc>
          <w:tcPr>
            <w:tcW w:type="dxa" w:w="5102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ML 열화 판정 임계값 (슬라이더)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임계값 이상이면 열화 판정. 낮출수록 민감도 증가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슬라이더 조정 시 변경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잔여수명 경보 기준 (슬라이더, 분)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60분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예측 RUL ≤ 기준이면 긴급 경보, 2배 이내는 주의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임계값 변경 이력 (expander)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경보 기준 변경 시 이력 자동 기록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실행 순서 안내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  <w:tc>
          <w:tcPr>
            <w:tcW w:type="dxa" w:w="5102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femto_preprocess → femto_ml → femto_dl_rul 실행 순서 안내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탭별 주요 기능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1] 📊 데이터 탐색 — FEMTO-ST 데이터 탐색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4개 핵심 메트릭: 총 베어링 수 / 총 스냅샷 수 / 열화 비율 / 데이터 모드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h_rms 진동 추이 (Plotly 인터랙티브 차트, 베어링별 열화 임계값 표시)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열화 라벨 분포 파이차트 (정상 vs 열화)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피처 분포 박스플롯 (피처 선택 selectbox, 베어링별 분포 비교)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2] 🤖 ML 성능 — ML 열화 분류 성능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VIF 다중공선성 분석 표 (양호=녹색 &lt;5 / 주의=노랑 5~10 / 심각=빨강 ≥10)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모델 3종 성능 비교표 (Accuracy / Precision / Recall / F1 / ROC-AUC)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Feature Importance 가로 막대 차트 (최고 모델 기준)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최고 모델 Confusion Matrix (학습 시 threshold=0.5 기준)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3] 🔮 DL RUL 예측 — DL 잔여수명(RUL) 예측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ML(RF) vs DL(LSTM) RUL 예측 성능 비교표 (RMSE / MAE 분 단위)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LSTM 학습 곡선 — Fold 1 대표 (Train Loss / Val Loss, GroupKFold 5-Fold 중 1번)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베어링별 실제 RUL 추이 (시간축, RUL 경보 기준선 표시)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4] 🏭 통합 진단 (실시간) — 실시간 베어링 상태 평가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진동 특성 직접 입력 슬라이더 9개 (h_rms·h_kurt·h_skew·h_crest / v_rms·v_kurt·v_skew·v_crest / 온도)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「진단하기」버튼 클릭 → ML 열화 판정(열화 확률 %, 임계값 비교 판정) + DL 잔여수명 예측(분, LSTM 우선·RF 폴백)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경보 등급: 정상(녹색) / 주의(주황, 기준의 2배 이내) / 긴급(빨강, 기준 이하)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입력값 요약 expander (전체 피처 값 확인)</w:t>
      </w:r>
    </w:p>
    <w:p>
      <w:pPr>
        <w:spacing w:before="120" w:after="40"/>
      </w:pPr>
      <w:r>
        <w:rPr>
          <w:rFonts w:ascii="맑은 고딕" w:hAnsi="맑은 고딕"/>
          <w:b/>
          <w:color w:val="2E75B6"/>
          <w:sz w:val="20"/>
        </w:rPr>
        <w:t>[탭 5] 🔬 DL 아키텍처 비교 (5종) — 아키텍처 성능 벤치마크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5종 아키텍처 성능 비교표 (GRU·LSTM·BiLSTM·1D-CNN·CNN-LSTM, OOS RMSE 최솟값 녹색 강조)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EarlyStopping 효과 분석표 (실행 Epoch / 절약 Epoch / 조기 종료 여부)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최적 모델 학습 곡선 PNG (Train·Val Loss, EarlyStopping 발동 지점 확인)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저장 모델 로드 후 OOS 예측 결과 PNG (실제 RUL vs 예측 RUL)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5.3 시스템 품질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수준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RUL 예측 RMSE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900분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 (GRU v2)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RF 대비 개선율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&gt; 10%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15.08% 개선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예측 응답시간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&lt; 2초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@st.cache_resource 적용 ~0.1초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데이터 누수 방지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GroupKFold 적용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베어링 단위 분리 완전 차단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EarlyStopping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방지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patience=10, restore_best=True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ModelCheckpoint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최적 모델 보존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val_loss 기준 자동 저장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PASS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6. 결과 요약 및 향후 방향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6.1 결과 요약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아키텍처 5종 비교 후 GRU 채택. BN+LN 정규화 + 하이퍼파라미터 최적화로 최종 GRU v2 OOS RMSE 810.38분 달성 (RF 대비 15.08% 개선).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GroupKFold 베어링 단위 분리로 시계열 데이터 누수를 완전 차단, 미관측 베어링(Full_Test_Set 11개)에서의 일반화 성능 검증 완료.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Streamlit 5탭 대시보드 구축 및 Cloud 배포 완료 — 코딩 없이 현장 담당자가 즉시 RUL 예측 활용 가능.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6.2 성능 개선 로드맵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 단계</w:t>
            </w:r>
          </w:p>
        </w:tc>
        <w:tc>
          <w:tcPr>
            <w:tcW w:type="dxa" w:w="45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내용</w:t>
            </w:r>
          </w:p>
        </w:tc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기대 RMSE 개선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완료 (현재)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 v2 BN+LN + 배치=16 + GroupKFold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2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Attention 메커니즘 + SHAP 해설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-100~200분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3</w:t>
            </w:r>
          </w:p>
        </w:tc>
        <w:tc>
          <w:tcPr>
            <w:tcW w:type="dxa" w:w="453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앙산블 (GRU+1D-CNN) + 실 공장 데이터 연동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-150~300분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Phase 4</w:t>
            </w:r>
          </w:p>
        </w:tc>
        <w:tc>
          <w:tcPr>
            <w:tcW w:type="dxa" w:w="453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Transformer 계열 + IoT 실시간 스트림 연동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-200~400분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6.3 한계점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데이터: FEMTO-ST는 실험실 가속 수명 시험 데이터 — 실제 공장 운전 조건과 도메인 갥 검증 필요.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RUL 단위: 분(minute) 단위이며 실제 공장 적용 시 운전 패턴에 따라 절대 시간과 편차 발생 가능.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멀티 컨디션: Condition 1~3별 수명 편차가 크므로 조건별 모델 분리가 더 높은 정확도를 줄 수 있음.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6.4 개선 방향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Attention 메커니즘 도입 → 열화 구간에 집중하는 가중치 학습으로 말기 정밀도 향상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SHAP 해설 연계 → '왜 RUL이 이 값인지' 피처별 기여도를 현장 담당자에게 시각화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앙산블 (GRU + 1D-CNN) → 시퀀스 패턴과 주파수 특성을 동시에 학습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MLOps 자동 재학습 → 실 공장 데이터 유입 시 개념 드리프트 감지 + 자동 파이프라인</w:t>
      </w:r>
    </w:p>
    <w:p>
      <w:pPr>
        <w:spacing w:before="20" w:after="40"/>
        <w:ind w:left="283"/>
      </w:pPr>
      <w:r>
        <w:rPr>
          <w:rFonts w:ascii="맑은 고딕" w:hAnsi="맑은 고딕"/>
          <w:b w:val="0"/>
          <w:sz w:val="20"/>
        </w:rPr>
        <w:t>• 실시간 IoT 연동 → MQTT 브로커 → Streamlit 실시간 RUL 업데이트 (1분 주기)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6.5 SHAP 미적용 이유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이 과제에서 GRU/LSTM 등 DL 모델에 SHAP(SHapley Additive exPlanations) 기반 피처 기여도 분석을 적용하지 않은 이유는 아래 네 가지입니다.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상세 설명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① 과제 범위 밖 (Phase 2 예약)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이번 과제 목표는 5종 아키텍처 비교 → 하이퍼파라미터 그리드서치 → BN+LN 정규화 효과 검증 → Streamlit 배포까지로 한정. SHAP 기반 설명가능 AI(XAI)는 6.2절 로드맵의 Phase 2 항목으로 분류.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② GPU 없이 계산 비용 과다</w:t>
              <w:br/>
              <w:t>(핵심 이유)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LSTM/GRU 입력 차원: 20타임스텝 × 12피처 = 240차원</w:t>
              <w:br/>
              <w:t>KernelExplainer 샘플당 평가 횟수: 2×240+2048 = 2,528회 모델 forward pass</w:t>
              <w:br/>
              <w:t>학습 시퀀스 N≈4,000개 기준 총 평가 횟수: 4,000 × 2,528 = 약 1,011만 회</w:t>
              <w:br/>
              <w:t xml:space="preserve">  - CPU(Intel i7, GRU 1-layer): pass당 ~5ms → 총 약 14시간 소요</w:t>
              <w:br/>
              <w:t xml:space="preserve">  - GPU(RTX 3080) 있을 경우: pass당 ~0.2ms → 약 34분 (35× 단축)</w:t>
              <w:br/>
              <w:t>→ GPU H/W 미지원 환경에서 실용적이지 않음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③ VIF로 피처 선택 이미 완료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학습 전 단계에서 VIF(분산팽창지수) 분석으로 12개 피처 모두 VIF &lt; 10 확인 → 전체 선택.</w:t>
              <w:br/>
              <w:t>다중공선성 제거 및 피처 중요도는 ML 단계(RandomForest Feature Importance)로 가시화 완료.</w:t>
              <w:br/>
              <w:t>SHAP이 추가로 제공할 타임스텝별 기여도 분석은 이번 평가 지표(RMSE/MAE)에 미포함.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④ DeepExplainer 버전 의존성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시퀀스 모델에 더 적합한 shap.DeepExplainer는 TensorFlow/Keras 버전 호환 문제가 있어 Keras 3.x + TF 2.16 환경에서 안정적으로 동작하지 않음.</w:t>
              <w:br/>
              <w:t>KernelExplainer로 대체 시 ②의 계산 비용 문제가 발생.</w:t>
            </w:r>
          </w:p>
        </w:tc>
      </w:tr>
    </w:tbl>
    <w:p>
      <w:r>
        <w:br w:type="page"/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A. 성능 개선 실험 (Performance Improvement)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A.1 개선 탐색 요약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단계적 탐색(성능 개선 기여 순): ① 아키텍처 5종 비교 → GRU 선정 → ② 하이퍼파라미터 그리드서치(window/units/dropout) → ③ 배치 크기 튜닝 → ④ 옵티마이저 비교(Adam/Nadam/AdamW) → ⑤ 정규화 비교(v1 vs v2 BN+LN).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A.2 아키텍처 비교 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GRU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1164.82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909.96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741.5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1D-CNN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1093.23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938.03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754.87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CNN-LSTM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1168.68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996.61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789.89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BiLSTM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1301.63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1021.19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805.53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LSTM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1091.23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1036.91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846.21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A.3 하이퍼파라미터 그리드서치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순위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window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units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dropout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1위 (채택)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1184.99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956.05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1169.16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959.55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1144.85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968.52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4위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20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1158.35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971.71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5위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1255.48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978.35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A.4 옵티마이저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옵티마이저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Nadam (채택)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1231.05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977.70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760.26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1215.75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996.88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756.22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AdamW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1116.00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1011.36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765.46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A.5 배치 크기 튜닝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배치 크기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실제 Epoch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채택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16 (채택)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836.60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666.12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OOS RMSE 최저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1065.51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1002.56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787.81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1065.69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1114.39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891.81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141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1066.24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1054.33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833.80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A.6 GRU v1 vs v2 — 정규화 효과 (BN+LN)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CV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RMSE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OOS MAE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Epoch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개선율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v1 (기본 Dropout만)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1175.35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973.47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806.26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-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GRU v2 (BN+LN 추가)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1037.68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810.38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665.63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33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16.75%↓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LayerNormalization은 배치 크기와 무관하게 시퀀스 내 각 타임스텝을 정규화하고, BatchNormalization은 출력층 직전 특성 분포를 안정화합니다. 두 정규화를 함께 적용하면 학습 에포크가 54→33으로 단축되면서 OOS RMSE가 16.75% 개선됩니다.</w:t>
      </w:r>
    </w:p>
    <w:p>
      <w:pPr>
        <w:spacing w:before="240" w:after="80"/>
        <w:pBdr>
          <w:bottom w:val="single" w:sz="8" w:color="1F4E79"/>
        </w:pBdr>
      </w:pPr>
      <w:r>
        <w:rPr>
          <w:rFonts w:ascii="맑은 고딕" w:hAnsi="맑은 고딕"/>
          <w:b/>
          <w:color w:val="1F4E79"/>
          <w:sz w:val="28"/>
        </w:rPr>
        <w:t>부록 B. 데이터 프로파일링 리포트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B.1 베어링 목록 및 데이터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베어링명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969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운전 조건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Bearing2_1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Bearing3_1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Bearing3_2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demo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Bearing1_3~1_7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1800rpm / 4kN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Bearing2_3~2_7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test(5개)</w:t>
            </w:r>
          </w:p>
        </w:tc>
        <w:tc>
          <w:tcPr>
            <w:tcW w:type="dxa" w:w="3969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1650rpm / 4.2kN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Bearing3_3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Cond.3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test(1개)</w:t>
            </w:r>
          </w:p>
        </w:tc>
        <w:tc>
          <w:tcPr>
            <w:tcW w:type="dxa" w:w="3969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1500rpm / 5kN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B.2 피처 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58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13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1984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(정상 구간)</w:t>
            </w:r>
          </w:p>
        </w:tc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범위 (열화 구간)</w:t>
            </w:r>
          </w:p>
        </w:tc>
        <w:tc>
          <w:tcPr>
            <w:tcW w:type="dxa" w:w="209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h_rms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0.02~0.05g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0.1~3.0g 급증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예측 핵심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h_kurt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3~4 (정규)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5~15 급등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충격성 증가 → 결함 신호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h_crest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3~5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7~20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최대/RMS 비율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v_rms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0.01~0.04g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h_rms와 유사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수직 방향 에너지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temp_mean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원본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25~30°C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30~60°C 완만 상승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마찰열 지시자</w:t>
            </w:r>
          </w:p>
        </w:tc>
      </w:tr>
      <w:tr>
        <w:tc>
          <w:tcPr>
            <w:tcW w:type="dxa" w:w="1587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energy</w:t>
            </w:r>
          </w:p>
        </w:tc>
        <w:tc>
          <w:tcPr>
            <w:tcW w:type="dxa" w:w="113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h_rms²+v_rms²</w:t>
            </w:r>
          </w:p>
        </w:tc>
      </w:tr>
      <w:tr>
        <w:tc>
          <w:tcPr>
            <w:tcW w:type="dxa" w:w="1587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health_idx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파생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낙음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급격히 증가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h_rms×h_kurt</w:t>
            </w:r>
          </w:p>
        </w:tc>
      </w:tr>
    </w:tbl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B.3 품질 및 분포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803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결측치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온도 파일 누락 시 h/v 피처는 완결. 온도만 선형 보간 처리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중복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0건 — 스냅샷별 1분 간격 수집으로 중복 없음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이상치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말기 구간 h_rms 급등은 이상치가 아닌 열화 신호 (제거 금지)</w:t>
            </w:r>
          </w:p>
        </w:tc>
      </w:tr>
      <w:tr>
        <w:tc>
          <w:tcPr>
            <w:tcW w:type="dxa" w:w="2268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클래스 불균형</w:t>
            </w:r>
          </w:p>
        </w:tc>
        <w:tc>
          <w:tcPr>
            <w:tcW w:type="dxa" w:w="6803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RUL 회귀 문제이므로 불균형 개념 불적용 (연속값 예측)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베어링간 수명 편차</w:t>
            </w:r>
          </w:p>
        </w:tc>
        <w:tc>
          <w:tcPr>
            <w:tcW w:type="dxa" w:w="6803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Condition 1: 28분~2,832분, Condition별 큰 편차 → MinMaxScaler 필수</w:t>
            </w:r>
          </w:p>
        </w:tc>
      </w:tr>
    </w:tbl>
    <w:p>
      <w:r>
        <w:br w:type="page"/>
      </w:r>
    </w:p>
    <w:p>
      <w:pPr>
        <w:spacing w:before="200" w:after="80"/>
      </w:pPr>
      <w:r>
        <w:rPr>
          <w:rFonts w:ascii="맑은 고딕" w:hAnsi="맑은 고딕"/>
          <w:b/>
          <w:color w:val="1F4E79"/>
          <w:sz w:val="24"/>
        </w:rPr>
        <w:t>부록 C. DL 이진 분류 모델 결과 (CNN+LSTM)</w:t>
      </w:r>
    </w:p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DL 프로젝트의 첫 단계로 CNN+LSTM 이진 분류기(정상=0 / 고장=1)를 학습하였습니다. 아래는 Validation Set(179 samples) 기준 Classification Report와 학습 곡선 해석입니다.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C.1 Classification Report (Validation Set, Threshold = 0.50)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5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클래스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Recall (TPR)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417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0 — Normal (정상)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0.89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105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 — Failure (고장)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0.81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0.68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0.74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74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Macro Avg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0.78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0.79</w:t>
            </w:r>
          </w:p>
        </w:tc>
        <w:tc>
          <w:tcPr>
            <w:tcW w:type="dxa" w:w="1417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Weighted Avg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0.80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179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• Class 1 Recall = 0.68: 고장 74건 중 50건 정확 감지 (24건 미감지 = False Negative)</w:t>
        <w:br/>
        <w:t>• Class 0 Recall = 0.89: 정상 105건 중 93건 정확 판별 (12건 오경보 = False Positive)</w:t>
        <w:br/>
        <w:t>• 전체 Accuracy 0.80, ROC AUC 0.88 — 랜덤(0.5) 대비 우수한 변별력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C.2 ROC 커브 및 Threshold 분석 (AUC = 0.88)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236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값 / 설명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AUC (ROC Area)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0.88 — Threshold에 무관한 모델 변별력 지표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운영 Threshold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0.50 (Youden's J 근처: FPR≈0.05, TPR≈0.85~0.90)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Youden's J Index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max(TPR − FPR) → ROC 커브 좌상단 knee 지점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0.30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TPR↑(≈0.95) / FPR↑(≈0.25) — 민감도 우선, 오경보 多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0.50 ★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TPR≈0.85 / FPR≈0.05~0.10 — 기본값, 균형</w:t>
            </w:r>
          </w:p>
        </w:tc>
      </w:tr>
      <w:tr>
        <w:tc>
          <w:tcPr>
            <w:tcW w:type="dxa" w:w="2835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Threshold 0.75 시나리오</w:t>
            </w:r>
          </w:p>
        </w:tc>
        <w:tc>
          <w:tcPr>
            <w:tcW w:type="dxa" w:w="6236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TPR↓(≈0.68) / FPR↓(&lt;0.05) — 보수적, 오경보 최소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Streamlit 슬라이더</w:t>
            </w:r>
          </w:p>
        </w:tc>
        <w:tc>
          <w:tcPr>
            <w:tcW w:type="dxa" w:w="6236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사용자가 0.1~0.9 범위에서 실시간 조정 가능</w:t>
            </w:r>
          </w:p>
        </w:tc>
      </w:tr>
    </w:tbl>
    <w:p>
      <w:pPr>
        <w:spacing w:before="0" w:after="120"/>
        <w:jc w:val="left"/>
      </w:pPr>
      <w:r>
        <w:rPr>
          <w:rFonts w:ascii="맑은 고딕" w:hAnsi="맑은 고딕"/>
          <w:b w:val="0"/>
          <w:sz w:val="20"/>
        </w:rPr>
        <w:t>※ AUC는 Threshold를 변경해도 변하지 않음. Threshold는 운영 민감도(TPR/FPR 균형)만 조절.</w:t>
      </w:r>
    </w:p>
    <w:p>
      <w:pPr>
        <w:spacing w:before="160" w:after="60"/>
      </w:pPr>
      <w:r>
        <w:rPr>
          <w:rFonts w:ascii="맑은 고딕" w:hAnsi="맑은 고딕"/>
          <w:b/>
          <w:color w:val="2E75B6"/>
          <w:sz w:val="22"/>
        </w:rPr>
        <w:t>C.3 학습 곡선 해석 (Loss Curve / Accuracy Curve, 60 Epochs)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곡선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관찰 내용</w:t>
            </w:r>
          </w:p>
        </w:tc>
        <w:tc>
          <w:tcPr>
            <w:tcW w:type="dxa" w:w="3685"/>
            <w:shd w:val="clear" w:color="auto" w:fill="1F4E79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Loss Curve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~0.67 → Epoch 10 이후 ~0.43 수렴</w:t>
              <w:br/>
              <w:t>Train/Val Loss 격차 최소</w:t>
            </w:r>
          </w:p>
        </w:tc>
        <w:tc>
          <w:tcPr>
            <w:tcW w:type="dxa" w:w="3685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과적합 없음. EarlyStopping(patience=8) + restore_best_weights=True로 최적 가중치 복원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Accuracy Curve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초기 ~0.62 → Epoch 5 전후 급등 → 0.80 수렴</w:t>
              <w:br/>
              <w:t>Train 0.80~0.82 / Val 0.79~0.80</w:t>
            </w:r>
          </w:p>
        </w:tc>
        <w:tc>
          <w:tcPr>
            <w:tcW w:type="dxa" w:w="3685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rFonts w:ascii="맑은 고딕" w:hAnsi="맑은 고딕"/>
                <w:b w:val="0"/>
                <w:sz w:val="20"/>
              </w:rPr>
              <w:t>Train/Val 차이 ≤ 2%p → 일반화 성능 양호. 60 Epoch 구간 소폭 진동은 BatchNorm 안정화 과정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D. Titanic 탐색적 데이터 분석 (EDA)</w:t>
      </w:r>
    </w:p>
    <w:p>
      <w:r>
        <w:rPr>
          <w:rFonts w:ascii="맑은 고딕" w:hAnsi="맑은 고딕"/>
          <w:sz w:val="20"/>
        </w:rPr>
        <w:t>Titanic 승객 데이터(train set, 891건)를 이용한 이진 분류 사전 분석입니다.</w:t>
        <w:br/>
        <w:t>전처리: Age·Fare 결측값 중앙값 대체, Sex → 0(남)/1(여) 인코딩 완료.</w:t>
      </w:r>
    </w:p>
    <w:p/>
    <w:p>
      <w:r>
        <w:rPr>
          <w:rFonts w:ascii="맑은 고딕" w:hAnsi="맑은 고딕"/>
          <w:b/>
          <w:color w:val="1F4E79"/>
          <w:sz w:val="22"/>
        </w:rPr>
        <w:t>▷ D.1 수치형 변수 — Pearson 상관 히트맵</w:t>
      </w:r>
    </w:p>
    <w:p>
      <w:r>
        <w:rPr>
          <w:rFonts w:ascii="맑은 고딕" w:hAnsi="맑은 고딕"/>
          <w:sz w:val="20"/>
        </w:rPr>
        <w:t>연속형·이산형 수치 변수(Age, SibSp, Parch, Fare)와 타깃(Survived) 간 Pearson 선형 상관계수입니다. 값이 클수록 붉은색, 작을수록 파란색으로 표시됩니다.</w:t>
      </w:r>
    </w:p>
    <w:p>
      <w:r>
        <w:drawing>
          <wp:inline xmlns:a="http://schemas.openxmlformats.org/drawingml/2006/main" xmlns:pic="http://schemas.openxmlformats.org/drawingml/2006/picture">
            <wp:extent cx="3600000" cy="3082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_heatmap_n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821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상관계수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+0.26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요금 높을수록 생존률↑ (1등석 비중 반영)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Age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-0.08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나이와 생존의 선형 관계 미약 (비선형 패턴 존재)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SibSp ↔ Parch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+0.41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형제자매·부모자녀 동반 여부 공선성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Fare ↔ Parch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+0.22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대가족일수록 고가 티켓 비율 소폭↑</w:t>
            </w:r>
          </w:p>
        </w:tc>
      </w:tr>
    </w:tbl>
    <w:p/>
    <w:p>
      <w:r>
        <w:rPr>
          <w:rFonts w:ascii="맑은 고딕" w:hAnsi="맑은 고딕"/>
          <w:sz w:val="18"/>
        </w:rPr>
        <w:t>▶ 수치형 변수만으로는 Survived와의 Pearson 상관이 모두 낮음(최대 0.26).</w:t>
        <w:br/>
        <w:t xml:space="preserve">   → 범주형 피처(Sex, Pclass)와 조합 시 예측력 크게 향상됨을 D.2에서 확인.</w:t>
      </w:r>
    </w:p>
    <w:p/>
    <w:p>
      <w:r>
        <w:rPr>
          <w:rFonts w:ascii="맑은 고딕" w:hAnsi="맑은 고딕"/>
          <w:b/>
          <w:color w:val="1F4E79"/>
          <w:sz w:val="22"/>
        </w:rPr>
        <w:t>▷ D.2 범주형·서열형 변수 — Cramér's V 히트맵</w:t>
      </w:r>
    </w:p>
    <w:p>
      <w:r>
        <w:rPr>
          <w:rFonts w:ascii="맑은 고딕" w:hAnsi="맑은 고딕"/>
          <w:sz w:val="20"/>
        </w:rPr>
        <w:t>범주형(Sex)·서열형(Pclass) 변수 간 연관 강도를 Cramér's V (χ² 기반, 0~1 범위)로 측정합니다.</w:t>
        <w:br/>
        <w:t>Pearson 상관은 명목 변수 간 선형 가정이 부적절하므로, 범주형에는 Cramér's V를 사용합니다.</w:t>
      </w:r>
    </w:p>
    <w:p>
      <w:r>
        <w:drawing>
          <wp:inline xmlns:a="http://schemas.openxmlformats.org/drawingml/2006/main" xmlns:pic="http://schemas.openxmlformats.org/drawingml/2006/picture">
            <wp:extent cx="2880000" cy="2496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_heatmap_ca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변수 쌍</w:t>
            </w:r>
          </w:p>
        </w:tc>
        <w:tc>
          <w:tcPr>
            <w:tcW w:type="dxa" w:w="1417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Cramér's V</w:t>
            </w:r>
          </w:p>
        </w:tc>
        <w:tc>
          <w:tcPr>
            <w:tcW w:type="dxa" w:w="56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Sex ↔ Survived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0.54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성별이 생존과 강한 연관 (여성 우선 대피 원칙)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Survived</w:t>
            </w:r>
          </w:p>
        </w:tc>
        <w:tc>
          <w:tcPr>
            <w:tcW w:type="dxa" w:w="1417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0.34</w:t>
            </w:r>
          </w:p>
        </w:tc>
        <w:tc>
          <w:tcPr>
            <w:tcW w:type="dxa" w:w="56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등급이 생존과 중간 연관 (1등석 생존율 높음)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Pclass ↔ Sex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0.13</w:t>
            </w:r>
          </w:p>
        </w:tc>
        <w:tc>
          <w:tcPr>
            <w:tcW w:type="dxa" w:w="56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객실 등급과 성별 간 약한 연관</w:t>
            </w:r>
          </w:p>
        </w:tc>
      </w:tr>
    </w:tbl>
    <w:p/>
    <w:p>
      <w:r>
        <w:rPr>
          <w:rFonts w:ascii="맑은 고딕" w:hAnsi="맑은 고딕"/>
          <w:sz w:val="18"/>
        </w:rPr>
        <w:t>※ Cramér's V 해석 기준: 0.1 미만=약함, 0.1~0.3=보통, 0.3~0.5=강함, 0.5 이상=매우 강함</w:t>
        <w:br/>
        <w:t>▶ Sex(0.54)가 Pclass(0.34)보다 Survived와 강한 연관 → DL 모델에서 Sex가 핵심 피처로 작용</w:t>
      </w:r>
    </w:p>
    <w:p/>
    <w:p>
      <w:r>
        <w:rPr>
          <w:rFonts w:ascii="맑은 고딕" w:hAnsi="맑은 고딕"/>
          <w:b/>
          <w:color w:val="1F4E79"/>
          <w:sz w:val="22"/>
        </w:rPr>
        <w:t>▷ D.3 변수별 생존/사망 2차원 비교 (4종)</w:t>
      </w:r>
    </w:p>
    <w:p>
      <w:r>
        <w:rPr>
          <w:rFonts w:ascii="맑은 고딕" w:hAnsi="맑은 고딕"/>
          <w:sz w:val="20"/>
        </w:rPr>
        <w:t>각 변수를 x축, 생존/사망 빈도를 y축으로 하여 Death(파랑)·Survived(주황)를 2차원으로 시각화합니다.</w:t>
      </w:r>
    </w:p>
    <w:p>
      <w:r>
        <w:drawing>
          <wp:inline xmlns:a="http://schemas.openxmlformats.org/drawingml/2006/main" xmlns:pic="http://schemas.openxmlformats.org/drawingml/2006/picture">
            <wp:extent cx="5400000" cy="38296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_2d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296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주요 패턴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DL 모델 시사점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① Age 히스토그램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10~30대 사망자 많음</w:t>
              <w:br/>
              <w:t>영유아(0~10세) 생존율 높음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Age는 비선형 패턴 존재</w:t>
              <w:br/>
              <w:t>→ CNN/LSTM이 선형 회귀보다 유리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② Pclass 막대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3등석 사망자 압도적</w:t>
              <w:br/>
              <w:t>1등석 생존율≈63%, 3등석≈24%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Pclass는 핵심 피처</w:t>
              <w:br/>
              <w:t>→ 원-핫 인코딩 또는 임베딩 권장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③ Sex 막대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남성 사망 468명 (생존율≈19%)</w:t>
              <w:br/>
              <w:t>여성 생존 233명 (생존율≈74%)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Sex가 단일 최강 피처</w:t>
              <w:br/>
              <w:t>Cramér's V 0.54로 확인</w:t>
            </w:r>
          </w:p>
        </w:tc>
      </w:tr>
      <w:tr>
        <w:tc>
          <w:tcPr>
            <w:tcW w:type="dxa" w:w="170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④ Fare 박스플롯</w:t>
            </w:r>
          </w:p>
        </w:tc>
        <w:tc>
          <w:tcPr>
            <w:tcW w:type="dxa" w:w="340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생존자 Fare 중앙값 &gt; 사망자</w:t>
              <w:br/>
              <w:t>약 2~3배 차이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Fare는 Pclass와 공선성 있음</w:t>
              <w:br/>
              <w:t>→ VIF 확인 후 피처 선택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1F4E79"/>
          <w:sz w:val="26"/>
        </w:rPr>
        <w:t>부록 E. SHAP 예측 설명 분석</w:t>
      </w:r>
    </w:p>
    <w:p>
      <w:r>
        <w:rPr>
          <w:rFonts w:ascii="맑은 고딕" w:hAnsi="맑은 고딕"/>
          <w:sz w:val="20"/>
        </w:rPr>
        <w:t>SHAP(SHapley Additive exPlanations)은 게임이론 기반 피처 기여도 분해 방법입니다.</w:t>
        <w:br/>
        <w:t>각 피처가 개별 예측에 얼마나 기여했는지 정량화하여 모델의 예측 근거를 설명합니다.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분류 모델</w:t>
            </w:r>
          </w:p>
        </w:tc>
        <w:tc>
          <w:tcPr>
            <w:tcW w:type="dxa" w:w="311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GRU v2 RUL 모델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모델 유형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LogisticRegression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GRU (시계열 회귀)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SHAP 방법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LinearExplainer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KernelExplainer (시간축 평균 근사)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소요 시간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&lt; 1초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 25초 (CPU)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배경 샘플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200개 (train)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20개 (test 랜덤)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설명 샘플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전체 테스트 15,927건</w:t>
            </w:r>
          </w:p>
        </w:tc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50건 랜덤</w:t>
            </w:r>
          </w:p>
        </w:tc>
      </w:tr>
      <w:tr>
        <w:tc>
          <w:tcPr>
            <w:tcW w:type="dxa" w:w="1984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입력 피처 수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9개 (기본 진동+온도)</w:t>
            </w:r>
          </w:p>
        </w:tc>
        <w:tc>
          <w:tcPr>
            <w:tcW w:type="dxa" w:w="3118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12개 (기본+파생)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E.1 분류 모델 SHAP Beeswarm (열화 감지)</w:t>
      </w:r>
    </w:p>
    <w:p>
      <w:r>
        <w:rPr>
          <w:rFonts w:ascii="맑은 고딕" w:hAnsi="맑은 고딕"/>
          <w:sz w:val="20"/>
        </w:rPr>
        <w:t>X축은 SHAP 값(양수=열화 확률 상승, 음수=열화 확률 하강), 색상은 피처값 크기(빨강=높음, 파랑=낮음).</w:t>
      </w:r>
    </w:p>
    <w:p>
      <w:r>
        <w:drawing>
          <wp:inline xmlns:a="http://schemas.openxmlformats.org/drawingml/2006/main" xmlns:pic="http://schemas.openxmlformats.org/drawingml/2006/picture">
            <wp:extent cx="4680000" cy="30882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hap_c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4252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 (수평 RMS)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가장 중요한 피처. 값 클수록 열화 확률 크게 상승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h_kurt (첨도)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충격성 이상 감지. 높은 첨도 = 충격적 열화 패턴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rms_ratio (h/v 비율)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양수 (열화+)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수평/수직 불균형. 특정 방향 마모 반영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h_skew (비대칭도)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영향</w:t>
            </w:r>
          </w:p>
        </w:tc>
        <w:tc>
          <w:tcPr>
            <w:tcW w:type="dxa" w:w="4252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신호 분포 왜곡. h_kurt와 연관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temp_mean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기여도 0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온도 데이터 없어 0으로 처리 (Cloud/로컬 환경 제한)</w:t>
            </w:r>
          </w:p>
        </w:tc>
      </w:tr>
    </w:tbl>
    <w:p/>
    <w:p>
      <w:r>
        <w:rPr>
          <w:rFonts w:ascii="맑은 고딕" w:hAnsi="맑은 고딕"/>
          <w:sz w:val="18"/>
        </w:rPr>
        <w:t>결론: 수평 진동 크기(h_rms)와 충격성(h_kurt) 조합이 열화 여부 결정에 지배적.</w:t>
        <w:br/>
        <w:t>온도 피처(temp_mean)는 현 데이터에서 활용 불가 - 온도 센서 추가 시 설명력 향상 기대.</w:t>
      </w:r>
    </w:p>
    <w:p/>
    <w:p>
      <w:r>
        <w:rPr>
          <w:rFonts w:ascii="맑은 고딕" w:hAnsi="맑은 고딕"/>
          <w:b/>
          <w:color w:val="1F4E79"/>
          <w:sz w:val="22"/>
        </w:rPr>
        <w:t>E.2 GRU v2 RUL 모델 SHAP Beeswarm</w:t>
      </w:r>
    </w:p>
    <w:p>
      <w:r>
        <w:rPr>
          <w:rFonts w:ascii="맑은 고딕" w:hAnsi="맑은 고딕"/>
          <w:sz w:val="20"/>
        </w:rPr>
        <w:t>GRU 시계열 입력(윈도우 20스텝)을 시간축 평균으로 압축한 KernelExplainer 근사 결과.</w:t>
        <w:br/>
        <w:t>X축 양수=RUL 증가(오래 남음), 음수=RUL 감소(조기 고장).</w:t>
      </w:r>
    </w:p>
    <w:p>
      <w:r>
        <w:drawing>
          <wp:inline xmlns:a="http://schemas.openxmlformats.org/drawingml/2006/main" xmlns:pic="http://schemas.openxmlformats.org/drawingml/2006/picture">
            <wp:extent cx="4680000" cy="31006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shap_gr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6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피처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SHAP 방향</w:t>
            </w:r>
          </w:p>
        </w:tc>
        <w:tc>
          <w:tcPr>
            <w:tcW w:type="dxa" w:w="3969"/>
            <w:shd w:val="clear" w:color="auto" w:fill="1F4E79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energy (총 진동 에너지)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h_rms^2 + v_rms^2. 에너지 높을수록 잔여수명 단축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h_rms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에너지와 동반 상승. 고진동 = 고장 임박 신호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health_idx (건강 지수)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음수 (RUL-)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h_rms x h_kurt 복합 지표. 악화 가속 반영</w:t>
            </w:r>
          </w:p>
        </w:tc>
      </w:tr>
      <w:tr>
        <w:tc>
          <w:tcPr>
            <w:tcW w:type="dxa" w:w="255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/>
                <w:sz w:val="20"/>
              </w:rPr>
              <w:t>v_rms (수직 RMS)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약한 음수</w:t>
            </w:r>
          </w:p>
        </w:tc>
        <w:tc>
          <w:tcPr>
            <w:tcW w:type="dxa" w:w="3969"/>
            <w:shd w:val="clear" w:color="auto" w:fill="F2F2F2"/>
          </w:tcPr>
          <w:p>
            <w:pPr>
              <w:jc w:val="center"/>
            </w:pPr>
            <w:r>
              <w:rPr>
                <w:rFonts w:ascii="맑은 고딕" w:hAnsi="맑은 고딕"/>
                <w:sz w:val="20"/>
              </w:rPr>
              <w:t>수직 방향 진동도 RUL에 기여 (수평보다 약함)</w:t>
            </w:r>
          </w:p>
        </w:tc>
      </w:tr>
    </w:tbl>
    <w:p/>
    <w:p>
      <w:r>
        <w:rPr>
          <w:rFonts w:ascii="맑은 고딕" w:hAnsi="맑은 고딕"/>
          <w:b/>
          <w:color w:val="1F4E79"/>
          <w:sz w:val="22"/>
        </w:rPr>
        <w:t>E.3 두 모델 피처 중요도 비교</w:t>
      </w:r>
    </w:p>
    <w:p>
      <w:r>
        <w:rPr>
          <w:rFonts w:ascii="맑은 고딕" w:hAnsi="맑은 고딕"/>
          <w:sz w:val="20"/>
        </w:rPr>
        <w:t>|SHAP 값| 평균으로 산출한 피처별 전체 중요도 순위 비교.</w:t>
      </w:r>
    </w:p>
    <w:p>
      <w:r>
        <w:drawing>
          <wp:inline xmlns:a="http://schemas.openxmlformats.org/drawingml/2006/main" xmlns:pic="http://schemas.openxmlformats.org/drawingml/2006/picture">
            <wp:extent cx="5400000" cy="20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shap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25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맑은 고딕" w:hAnsi="맑은 고딕"/>
          <w:sz w:val="20"/>
        </w:rPr>
        <w:t>결론:</w:t>
        <w:br/>
        <w:t xml:space="preserve"> - 두 모델 모두 h_rms가 상위권: 수평 진동 크기가 베어링 상태의 핵심 지표</w:t>
        <w:br/>
        <w:t xml:space="preserve"> - RUL 회귀에서 energy 파생 피처가 단독 1위: 총 에너지 누적이 잔여수명 예측에 결정적</w:t>
        <w:br/>
        <w:t xml:space="preserve"> - 분류에서 rms_ratio(방향 불균형)가 3위: 방향성 이상이 열화 감지에 효과적</w:t>
        <w:br/>
        <w:t xml:space="preserve"> - SHAP 분석으로 모델 내부 논리 검증 완료 - 물리적 직관과 일치함을 확인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