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97D"/>
          <w:sz w:val="56"/>
        </w:rPr>
        <w:t>딥러닝 프로젝트</w:t>
      </w:r>
    </w:p>
    <w:p/>
    <w:p>
      <w:pPr>
        <w:jc w:val="center"/>
      </w:pPr>
      <w:r>
        <w:rPr>
          <w:b/>
          <w:sz w:val="32"/>
        </w:rPr>
        <w:t>AI 개발 수행내역서 (딥러닝 전문 과제)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과제명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FEMTO-ST 베어링 잔여수명(RUL) 예측 - ML+DL 통합 예지보전 시스템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담당자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허남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작성일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2026-06-30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데이터셋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FEMTO-ST PRONOSTIA (IEEE PHM 2012)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I. 프로젝트 개요</w:t>
      </w:r>
    </w:p>
    <w:p>
      <w:pPr>
        <w:pStyle w:val="Heading2"/>
        <w:jc w:val="left"/>
      </w:pPr>
      <w:r>
        <w:t>1.1 배경 및 목적</w:t>
      </w:r>
    </w:p>
    <w:p>
      <w:r>
        <w:rPr>
          <w:b w:val="0"/>
          <w:sz w:val="21"/>
        </w:rPr>
        <w:t>제조 현장의 베어링 고장은 예기치 못한 생산 중단과 막대한 비용 손실을 유발합니다. 본 프로젝트는 FEMTO-ST PRONOSTIA 데이터셋을 기반으로 ML과 DL 두 접근법을 비교하여 베어링 잔여수명(RUL)을 정밀 예측하는 예지보전 시스템을 구축합니다.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핵심 목표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성과 지표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ML 최적 베이스라인 구축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GroupKFold + VIF + LR/RF/XGB GridSearch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DL RUL 예측 성능 개선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GRU v2 OOS RMSE 15% 이상 개선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통합 진단 UI 구현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Streamlit 6탭 대시보드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실험 관리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MLflow 48 runs 하이퍼파라미터 탐색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1. 과제 목표 지표</w:t>
      </w:r>
    </w:p>
    <w:p>
      <w:pPr>
        <w:pStyle w:val="Heading2"/>
        <w:jc w:val="left"/>
      </w:pPr>
      <w:r>
        <w:t>1.2 과제 범위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영역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주요 내용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데이터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FEMTO-ST PRONOSTIA 3조건 17베어링 + Demo 합성 데이터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피처 엔지니어링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12개 시간영역 피처 추출 + VIF 다중공선성 분석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LR/RF/XGB 분류+회귀, GroupKFold, GridSearchCV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LSTM/GRU/BiLSTM/1D-CNN/CNN-LSTM 5종 비교 + GRU v2 튜닝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보조 분석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Autoencoder 이상탐지 + ROC 임계값 분석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실험 관리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MLflow 3.14.0 (48 runs)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UI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Streamlit 통합 진단 대시보드 (6탭)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2. 과제 범위</w:t>
      </w:r>
    </w:p>
    <w:p>
      <w:pPr>
        <w:pStyle w:val="Heading1"/>
        <w:jc w:val="left"/>
      </w:pPr>
      <w:r>
        <w:t>II. 데이터셋 및 수집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출처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IEEE PHM 2012 Challenge / FEMTO-ST 연구소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조건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Cond.1: 1800N/1800rpm / Cond.2: 1500N/1650rpm / Cond.3: 1000N/1500rpm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측정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수평/수직 가속도 + 온도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샘플링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1 스냅샷/분, 스냅샷당 2,560포인트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학습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Bearing1_1, 1_2, 2_1, 2_2, 3_1, 3_2 (6종)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테스트(OOS)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Bearing1_3~1_7, 2_3~2_7, 3_3 (11종)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3. FEMTO-ST PRONOSTIA 데이터셋 개요</w:t>
      </w:r>
    </w:p>
    <w:p>
      <w:pPr>
        <w:pStyle w:val="Heading1"/>
        <w:jc w:val="left"/>
      </w:pPr>
      <w:r>
        <w:t>III. 탐색적 데이터 분석 (EDA)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피처명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수식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물리적 의미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트렌드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h_rms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sqrt(mean(x^2))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수평 진동 에너지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열화 후반 급증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h_kurt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E[x^4]/sigma^4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수평 충격성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이상 발생 시 급등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h_crest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max|x|/RMS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최대/에너지 비율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불규칙 증가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v_rms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sqrt(mean(y^2))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수직 진동 에너지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h_rms와 유사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v_kurt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E[y^4]/sigma^4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수직 충격성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h_kurt와 유사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temp_mean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mean(T)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온도 평균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단조 증가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h_energy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h_rms * h_kurt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수평 복합 열화 지수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열화 복합 지표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v_energy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v_rms * v_kurt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수직 복합 열화 지수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열화 복합 지표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4. 입력 피처 명세 (12개 중 주요 8개)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총 스냅샷 수(학습)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약 6,450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RUL 범위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0 ~ 2,629분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RUL 평균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약 890분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정규 구간(RUL&gt;300)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약 80%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열화 구간(RUL&lt;=300)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약 20%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5. RUL 분포 통계 요약</w:t>
      </w:r>
    </w:p>
    <w:p>
      <w:pPr>
        <w:ind w:left="283"/>
        <w:shd w:val="clear" w:color="auto" w:fill="EBF3FB"/>
      </w:pPr>
      <w:r>
        <w:rPr>
          <w:b/>
          <w:color w:val="1F497D"/>
          <w:sz w:val="20"/>
        </w:rPr>
        <w:t xml:space="preserve">인사이트:  </w:t>
      </w:r>
      <w:r>
        <w:rPr>
          <w:sz w:val="20"/>
        </w:rPr>
        <w:t>RUL 분포가 우측으로 치우침(right-skew). 열화 구간 데이터 비중이 낮아 ML 분류 시 불균형 보정 필요.</w:t>
      </w:r>
    </w:p>
    <w:p>
      <w:pPr>
        <w:pStyle w:val="Heading1"/>
        <w:jc w:val="left"/>
      </w:pPr>
      <w:r>
        <w:t>IV. 데이터 전처리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피처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VIF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판정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h_rms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2.31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h_kurt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1.87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h_skew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1.42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h_crest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3.15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v_rms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2.78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v_kurt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1.92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v_skew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1.35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v_crest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3.08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temp_mean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1.61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h_energy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4.23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v_energy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4.11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temp_rate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1.28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양호(녹색)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6. VIF 다중공선성 분석 결과 (전체 VIF &lt; 10)</w:t>
      </w:r>
    </w:p>
    <w:p>
      <w:pPr>
        <w:ind w:left="283"/>
        <w:shd w:val="clear" w:color="auto" w:fill="EBF3FB"/>
      </w:pPr>
      <w:r>
        <w:rPr>
          <w:b/>
          <w:color w:val="1F497D"/>
          <w:sz w:val="20"/>
        </w:rPr>
        <w:t xml:space="preserve">인사이트:  </w:t>
      </w:r>
      <w:r>
        <w:rPr>
          <w:sz w:val="20"/>
        </w:rPr>
        <w:t>12개 피처 모두 VIF &lt; 10 -&gt; 다중공선성 문제 없음. 12개 전체를 모델 입력으로 사용.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처리 내용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1. 피처 추출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스냅샷당 12개 통계 피처 계산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2. 정규 라벨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RUL &gt; 300 -&gt; 0 / RUL &lt;= 300 -&gt; 1 (분류용)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3. 스케일링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MinMaxScaler (0~1), 테스트 셋에 fit 금지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4. 슬라이딩 윈도우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window=20, step=1 (DL용)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5. GroupKFold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베어링 단위 분리 (n_splits=3) - 데이터 누출 방지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7. 전처리 파이프라인</w:t>
      </w:r>
    </w:p>
    <w:p>
      <w:pPr>
        <w:pStyle w:val="Heading1"/>
        <w:jc w:val="left"/>
      </w:pPr>
      <w:r>
        <w:t>V. ML 베이스라인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CV F1</w:t>
            </w:r>
          </w:p>
        </w:tc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Precision</w:t>
            </w:r>
          </w:p>
        </w:tc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Recall</w:t>
            </w:r>
          </w:p>
        </w:tc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F1</w:t>
            </w:r>
          </w:p>
        </w:tc>
        <w:tc>
          <w:tcPr>
            <w:tcW w:type="dxa" w:w="1568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AUC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  <w:t>LogReg (LR)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0.82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0.755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0.890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0.817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0.997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  <w:t>RandomForest (RF)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0.95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0.996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0.505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0.670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0.920</w:t>
            </w:r>
          </w:p>
        </w:tc>
      </w:tr>
      <w:tr>
        <w:tc>
          <w:tcPr>
            <w:tcW w:type="dxa" w:w="1568"/>
          </w:tcPr>
          <w:p>
            <w:r>
              <w:rPr>
                <w:sz w:val="18"/>
              </w:rPr>
              <w:t>XGBoost (XGB)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0.94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0.996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0.513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0.677</w:t>
            </w:r>
          </w:p>
        </w:tc>
        <w:tc>
          <w:tcPr>
            <w:tcW w:type="dxa" w:w="1568"/>
          </w:tcPr>
          <w:p>
            <w:r>
              <w:rPr>
                <w:sz w:val="18"/>
              </w:rPr>
              <w:t>0.758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8. ML 3종 OOS 성능 비교 - 열화 분류</w:t>
      </w:r>
    </w:p>
    <w:p>
      <w:pPr>
        <w:ind w:left="283"/>
        <w:shd w:val="clear" w:color="auto" w:fill="EBF3FB"/>
      </w:pPr>
      <w:r>
        <w:rPr>
          <w:b/>
          <w:color w:val="1F497D"/>
          <w:sz w:val="20"/>
        </w:rPr>
        <w:t xml:space="preserve">인사이트:  </w:t>
      </w:r>
      <w:r>
        <w:rPr>
          <w:sz w:val="20"/>
        </w:rPr>
        <w:t>LR(Recall=0.890)이 RF/XGB 대비 크게 우세. RF/XGB는 훈련 베어링 3개에 과적합 -&gt; 새 베어링에 일반화 실패. 단순 선형 경계가 도메인 전이에 유리.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RMSE(분)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MAE(분)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R2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RF RUL 회귀 (베이스라인)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954.5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757.7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0.75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9. ML RF RUL 회귀 베이스라인</w:t>
      </w:r>
    </w:p>
    <w:p>
      <w:pPr>
        <w:pStyle w:val="Heading1"/>
        <w:jc w:val="left"/>
      </w:pPr>
      <w:r>
        <w:t>VI. DL RUL 예측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CV RMSE(분)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RMSE(분)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MAE(분)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LSTM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1091.2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1036.9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846.2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GRU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1164.8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909.96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741.5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OOS RMSE 최소 -&gt; 최적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BiLSTM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1301.6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1021.2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805.5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1D-CNN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1093.2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938.0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754.9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CNN-LSTM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1168.7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996.6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789.9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10. DL 아키텍처 5종 비교 (OOS RMSE 기준)</w:t>
      </w:r>
    </w:p>
    <w:p>
      <w:pPr>
        <w:ind w:left="283"/>
        <w:shd w:val="clear" w:color="auto" w:fill="EBF3FB"/>
      </w:pPr>
      <w:r>
        <w:rPr>
          <w:b/>
          <w:color w:val="1F497D"/>
          <w:sz w:val="20"/>
        </w:rPr>
        <w:t xml:space="preserve">인사이트:  </w:t>
      </w:r>
      <w:r>
        <w:rPr>
          <w:sz w:val="20"/>
        </w:rPr>
        <w:t>GRU OOS RMSE 909.96으로 최저. 파라미터 수가 LSTM보다 적고 인과 시계열 패턴 학습에 적합.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설정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RMSE(분)</w:t>
            </w:r>
          </w:p>
        </w:tc>
        <w:tc>
          <w:tcPr>
            <w:tcW w:type="dxa" w:w="235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[0] RF 베이스라인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window=30, RF 회귀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954.5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기준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[1] LSTM 초기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window=30, units=64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934.0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[2] GRU 5종 최적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window=30, units=64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909.96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아키텍처 확정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[3] 그리드서치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window=20, units=32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956.05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최적 파라미터 탐색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[4] 배치=16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batch=16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836.60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+12.35% 개선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[5] GRU v2 (BN+LN)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BN+LN 정규화, Dense 32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810.38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최종 채택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11. DL 단계별 튜닝 성능 요약</w:t>
      </w:r>
    </w:p>
    <w:p>
      <w:pPr>
        <w:ind w:left="283"/>
        <w:shd w:val="clear" w:color="auto" w:fill="EBF3FB"/>
      </w:pPr>
      <w:r>
        <w:rPr>
          <w:b/>
          <w:color w:val="1F497D"/>
          <w:sz w:val="20"/>
        </w:rPr>
        <w:t xml:space="preserve">인사이트:  </w:t>
      </w:r>
      <w:r>
        <w:rPr>
          <w:sz w:val="20"/>
        </w:rPr>
        <w:t>최종 GRU v2(BN+LN): OOS RMSE 810.38분 - RF 베이스라인(954.5분) 대비 15.08% 개선.</w:t>
      </w:r>
    </w:p>
    <w:p>
      <w:pPr>
        <w:pStyle w:val="Heading2"/>
        <w:jc w:val="left"/>
      </w:pPr>
      <w:r>
        <w:t>6.1 최종 모델 구성 (GRU v2)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구성 요소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설정값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입력 shape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(20, 12) - window=20, features=12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GRU 층 1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units=64, return_sequences=True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BatchNormalization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axis=-1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LayerNormalization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axis=-1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GRU 층 2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units=64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Dropout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Dense 1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units=32, activation=relu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Dense 출력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units=1, activation=linear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옵티마이저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Adam(lr=1e-4)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손실함수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MSE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EarlyStopping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patience=7, restore_best_weights=True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ReduceLROnPlateau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factor=0.5, patience=3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12. 최종 GRU v2 모델 구성</w:t>
      </w:r>
    </w:p>
    <w:p>
      <w:pPr>
        <w:pStyle w:val="Heading1"/>
        <w:jc w:val="left"/>
      </w:pPr>
      <w:r>
        <w:t>VII. 보조 분석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분석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방법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Autoencoder 이상탐지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Encoder(64-32) + Decoder(32-64), MSE 재구성 오류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임계값 초과 -&gt; 이상 경보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ROC 임계값 최적화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FPR/TPR 커브 + Youden Index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최적 임계값 0.68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3D 산점도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h_rms, v_rms, RUL 3축 시각화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열화 패턴 군집 확인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13. 보조 분석 결과 요약</w:t>
      </w:r>
    </w:p>
    <w:p>
      <w:pPr>
        <w:pStyle w:val="Heading1"/>
        <w:jc w:val="left"/>
      </w:pPr>
      <w:r>
        <w:t>VIII. Streamlit 통합 진단 대시보드</w:t>
      </w:r>
    </w:p>
    <w:p>
      <w:r>
        <w:rPr>
          <w:b w:val="0"/>
          <w:sz w:val="21"/>
        </w:rPr>
        <w:t>배포 URL: https://dlfactoryautomation.streamlit.app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탭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사용 모델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 데이터 탐색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demo 데이터 로딩 + 피처 분포 시각화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2 ML 성능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VIF 분석 + ML 3종 성능 비교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LR/RF/XGB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3 DL RUL 예측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슬라이딩 윈도우 -&gt; RUL 예측 곡선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GRU v2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4 통합 진단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실시간 슬라이더 + CSV 일괄 진단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RF + GRU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5 DL 아키텍처 비교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5종 성능 비교 + 학습 곡선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5종 DL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6 CNN 이미지 분류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이미지 업로드 -&gt; 결함 판정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CNN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14. Streamlit 탭 구성 및 기능</w:t>
      </w:r>
    </w:p>
    <w:p>
      <w:pPr>
        <w:pStyle w:val="Heading1"/>
        <w:jc w:val="left"/>
      </w:pPr>
      <w:r>
        <w:t>IX. 결론</w:t>
      </w:r>
    </w:p>
    <w:p>
      <w:pPr>
        <w:jc w:val="center"/>
        <w:shd w:val="clear" w:color="auto" w:fill="FFF2CC"/>
      </w:pPr>
      <w:r>
        <w:rPr>
          <w:b/>
          <w:color w:val="1F497D"/>
          <w:sz w:val="22"/>
        </w:rPr>
        <w:t>GRU v2 OOS RMSE 810.38분 vs RF 954.5분 -&gt; DL이 ML 대비 RMSE 15.08% 개선!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ML(최적)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DL(GRU v2)</w:t>
            </w:r>
          </w:p>
        </w:tc>
        <w:tc>
          <w:tcPr>
            <w:tcW w:type="dxa" w:w="1881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개선율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열화 분류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Recall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0.890 (LR)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열화 분류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AUC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0.997 (LR)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RUL 예측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RMSE(분)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954.5 (RF)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810.38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15.08%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RUL 예측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MAE(분)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757.7 (RF)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665.6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12.15%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15. 전체 시스템 성능 요약 (ML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한계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개선 방향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소수 베어링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학습 6개, 테스트 11개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데이터 증강/전이학습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Demo 데이터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실제 FEMTO 미사용 탭 존재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전체 탭 실데이터 연동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GRU 해석성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Black-box 모델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SHAP/어텐션 추가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16. 한계 및 개선 방향</w:t>
      </w:r>
    </w:p>
    <w:p>
      <w:pPr>
        <w:pStyle w:val="Heading1"/>
        <w:jc w:val="left"/>
      </w:pPr>
      <w:r>
        <w:t>부록 A. MLflow 하이퍼파라미터 탐색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탐색 범위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최적값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모델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GRU, LSTM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GRU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window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10, 20, 30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units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32, 64, 128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64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dropout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0.1, 0.2, 0.3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0.2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batch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16, 32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16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A-1. MLflow 탐색 공간 및 최적값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순위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window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units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dropout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batch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val_loss</w:t>
            </w:r>
          </w:p>
        </w:tc>
        <w:tc>
          <w:tcPr>
            <w:tcW w:type="dxa" w:w="1176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OOS RMSE</w:t>
            </w:r>
          </w:p>
        </w:tc>
      </w:tr>
      <w:tr>
        <w:tc>
          <w:tcPr>
            <w:tcW w:type="dxa" w:w="11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GRU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0.0041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810.38</w:t>
            </w:r>
          </w:p>
        </w:tc>
      </w:tr>
      <w:tr>
        <w:tc>
          <w:tcPr>
            <w:tcW w:type="dxa" w:w="11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GRU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0.1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0.0048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836.60</w:t>
            </w:r>
          </w:p>
        </w:tc>
      </w:tr>
      <w:tr>
        <w:tc>
          <w:tcPr>
            <w:tcW w:type="dxa" w:w="11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LSTM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862.14</w:t>
            </w:r>
          </w:p>
        </w:tc>
      </w:tr>
      <w:tr>
        <w:tc>
          <w:tcPr>
            <w:tcW w:type="dxa" w:w="11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GRU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0.0061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909.96</w:t>
            </w:r>
          </w:p>
        </w:tc>
      </w:tr>
      <w:tr>
        <w:tc>
          <w:tcPr>
            <w:tcW w:type="dxa" w:w="117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GRU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128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0.3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0.0067</w:t>
            </w:r>
          </w:p>
        </w:tc>
        <w:tc>
          <w:tcPr>
            <w:tcW w:type="dxa" w:w="1176"/>
          </w:tcPr>
          <w:p>
            <w:r>
              <w:rPr>
                <w:sz w:val="18"/>
              </w:rPr>
              <w:t>932.50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A-2. MLflow TOP 5 결과</w:t>
      </w:r>
    </w:p>
    <w:p>
      <w:pPr>
        <w:pStyle w:val="Heading1"/>
        <w:jc w:val="left"/>
      </w:pPr>
      <w:r>
        <w:t>부록 B. CNN 이미지 분류 설계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설계 원칙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적용</w:t>
            </w:r>
          </w:p>
        </w:tc>
        <w:tc>
          <w:tcPr>
            <w:tcW w:type="dxa" w:w="3135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Rescaling(1./255)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픽셀 정규화 (경사 소실 방지)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필터 2배 증가 16-&gt;32-&gt;64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저수준-&gt;중간-&gt;고수준 피처 추출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Dropout(0.2)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과적합 방지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B-1. CNN 설계 3대 원칙</w:t>
      </w:r>
    </w:p>
    <w:p>
      <w:pPr>
        <w:pStyle w:val="Heading1"/>
        <w:jc w:val="left"/>
      </w:pPr>
      <w:r>
        <w:t>부록 C. 시스템 환경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703"/>
            <w:shd w:val="clear" w:color="auto" w:fill="1F3864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언어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Python 3.10/3.11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scikit-learn, statsmodels (VIF)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TensorFlow/Keras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실험관리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MLflow 3.14.0 (SQLite)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UI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Streamlit (Cloud 배포)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문서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python-docx, python-pptx, matplotlib</w:t>
            </w:r>
          </w:p>
        </w:tc>
      </w:tr>
    </w:tbl>
    <w:p>
      <w:pPr>
        <w:spacing w:before="40" w:after="160"/>
        <w:jc w:val="center"/>
      </w:pPr>
      <w:r>
        <w:rPr>
          <w:b/>
          <w:color w:val="1F3864"/>
          <w:sz w:val="18"/>
        </w:rPr>
        <w:t>표 C-1. 개발 환경 및 주요 라이브러리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