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맑은 고딕" w:eastAsia="맑은 고딕" w:hAnsi="맑은 고딕"/>
          <w:b/>
          <w:bCs/>
          <w:color w:val="1E2761"/>
          <w:sz w:val="56"/>
          <w:szCs w:val="56"/>
        </w:rPr>
        <w:t>발표 스크립트</w:t>
      </w:r>
    </w:p>
    <w:p>
      <w:pPr>
        <w:spacing w:after="360"/>
        <w:jc w:val="center"/>
      </w:pPr>
      <w:r>
        <w:rPr>
          <w:rFonts w:ascii="맑은 고딕" w:eastAsia="맑은 고딕" w:hAnsi="맑은 고딕"/>
          <w:color w:val="333333"/>
          <w:sz w:val="30"/>
          <w:szCs w:val="30"/>
        </w:rPr>
        <w:t>FEMTO-ST 베어링 잔여수명(RUL) 예측</w:t>
      </w:r>
    </w:p>
    <w:p>
      <w:pPr>
        <w:spacing w:after="80"/>
        <w:jc w:val="center"/>
      </w:pPr>
      <w:r>
        <w:rPr>
          <w:rFonts w:ascii="맑은 고딕" w:eastAsia="맑은 고딕" w:hAnsi="맑은 고딕"/>
          <w:color w:val="6B6B6B"/>
          <w:sz w:val="24"/>
          <w:szCs w:val="24"/>
        </w:rPr>
        <w:t>ML + DL 통합 예지보전(PdM) 시스템</w:t>
      </w:r>
    </w:p>
    <w:p>
      <w:pPr>
        <w:spacing w:after="600"/>
        <w:jc w:val="center"/>
      </w:pPr>
      <w:r>
        <w:rPr>
          <w:rFonts w:ascii="맑은 고딕" w:eastAsia="맑은 고딕" w:hAnsi="맑은 고딕"/>
          <w:color w:val="6B6B6B"/>
          <w:sz w:val="22"/>
          <w:szCs w:val="22"/>
        </w:rPr>
        <w:t>딥러닝 프로젝트 · 발표용 대본</w:t>
      </w:r>
    </w:p>
    <w:p>
      <w:pPr>
        <w:spacing w:after="40"/>
        <w:jc w:val="center"/>
      </w:pPr>
      <w:r>
        <w:rPr>
          <w:rFonts w:ascii="맑은 고딕" w:eastAsia="맑은 고딕" w:hAnsi="맑은 고딕"/>
          <w:sz w:val="24"/>
          <w:szCs w:val="24"/>
        </w:rPr>
        <w:t>발표자: 허남</w:t>
      </w:r>
    </w:p>
    <w:p>
      <w:pPr>
        <w:spacing w:after="40"/>
        <w:jc w:val="center"/>
      </w:pPr>
      <w:r>
        <w:rPr>
          <w:rFonts w:ascii="맑은 고딕" w:eastAsia="맑은 고딕" w:hAnsi="맑은 고딕"/>
          <w:color w:val="6B6B6B"/>
          <w:sz w:val="20"/>
          <w:szCs w:val="20"/>
        </w:rPr>
        <w:t>데이터셋: FEMTO-ST PRONOSTIA (IEEE PHM 2012)</w:t>
      </w:r>
    </w:p>
    <w:p>
      <w:pPr>
        <w:spacing w:after="40"/>
        <w:jc w:val="center"/>
      </w:pPr>
      <w:r>
        <w:rPr>
          <w:rFonts w:ascii="맑은 고딕" w:eastAsia="맑은 고딕" w:hAnsi="맑은 고딕"/>
          <w:color w:val="6B6B6B"/>
          <w:sz w:val="20"/>
          <w:szCs w:val="20"/>
        </w:rPr>
        <w:t>슬라이드 19장 · 목표 발표 시간 약 20~22분</w:t>
      </w:r>
    </w:p>
    <w:p>
      <w:pPr>
        <w:spacing w:after="40"/>
        <w:jc w:val="center"/>
      </w:pPr>
      <w:r>
        <w:rPr>
          <w:rFonts w:ascii="맑은 고딕" w:eastAsia="맑은 고딕" w:hAnsi="맑은 고딕"/>
          <w:color w:val="6B6B6B"/>
          <w:sz w:val="20"/>
          <w:szCs w:val="20"/>
        </w:rPr>
        <w:t>2026.06.30</w:t>
      </w:r>
    </w:p>
    <w:p>
      <w:r>
        <w:br/>
      </w:r>
    </w:p>
    <w:p>
      <w:pPr>
        <w:pStyle w:val="Heading1"/>
        <w:pBdr>
          <w:bottom w:val="single" w:color="1E2761" w:sz="6" w:space="4"/>
        </w:pBdr>
        <w:spacing w:after="120" w:before="400"/>
      </w:pPr>
      <w:r>
        <w:rPr>
          <w:rFonts w:ascii="맑은 고딕" w:eastAsia="맑은 고딕" w:hAnsi="맑은 고딕"/>
          <w:b/>
          <w:bCs/>
          <w:color w:val="1E2761"/>
          <w:sz w:val="28"/>
          <w:szCs w:val="28"/>
        </w:rPr>
        <w:t>대본 사용 안내</w:t>
      </w:r>
    </w:p>
    <w:p>
      <w:pPr>
        <w:spacing w:after="120" w:line="300"/>
      </w:pPr>
      <w:r>
        <w:rPr>
          <w:rFonts w:ascii="맑은 고딕" w:eastAsia="맑은 고딕" w:hAnsi="맑은 고딕"/>
          <w:sz w:val="22"/>
          <w:szCs w:val="22"/>
        </w:rPr>
        <w:t>각 슬라이드마다 ① 목표 시간과 화면 포인트(기울임), ② 그대로 읽을 수 있는 발표 본문, ③ 다음 장으로 넘어가는 전환 멘트(주황색)를 담았습니다.</w:t>
      </w:r>
    </w:p>
    <w:p>
      <w:pPr>
        <w:spacing w:after="120" w:line="300"/>
      </w:pPr>
      <w:r>
        <w:rPr>
          <w:rFonts w:ascii="맑은 고딕" w:eastAsia="맑은 고딕" w:hAnsi="맑은 고딕"/>
          <w:sz w:val="22"/>
          <w:szCs w:val="22"/>
        </w:rPr>
        <w:t>본문은 입으로 자연스럽게 읽히도록 작성했으므로, 거의 그대로 읽으셔도 됩니다. 숫자는 청중이 듣기 쉽도록 풀어 말하는 것을 권장합니다(예: 810.38 → "팔백십 점 삼팔 분").</w:t>
      </w:r>
    </w:p>
    <w:p>
      <w:pPr>
        <w:spacing w:after="120" w:line="300"/>
      </w:pPr>
      <w:r>
        <w:rPr>
          <w:rFonts w:ascii="맑은 고딕" w:eastAsia="맑은 고딕" w:hAnsi="맑은 고딕"/>
          <w:sz w:val="22"/>
          <w:szCs w:val="22"/>
        </w:rPr>
        <w:t>핵심 수치 주의: RandomForest 베이스라인 대비 개선율은 15.08%, GRU v1 대비 v2의 딥러닝 내부 개선율은 16.75%입니다. 분모가 다르므로 슬라이드 6에서 반드시 구분해 말씀하세요.</w:t>
      </w:r>
    </w:p>
    <w:p>
      <w:r>
        <w:br/>
      </w:r>
    </w:p>
    <w:p>
      <w:pPr>
        <w:pStyle w:val="Heading1"/>
        <w:pBdr>
          <w:bottom w:val="single" w:color="1E2761" w:sz="6" w:space="4"/>
        </w:pBdr>
        <w:spacing w:after="120" w:before="320"/>
      </w:pPr>
      <w:r>
        <w:rPr>
          <w:rFonts w:ascii="맑은 고딕" w:eastAsia="맑은 고딕" w:hAnsi="맑은 고딕"/>
          <w:b/>
          <w:bCs/>
          <w:color w:val="1E2761"/>
          <w:sz w:val="28"/>
          <w:szCs w:val="28"/>
        </w:rPr>
        <w:t>슬라이드 1 · 표지 — 프로젝트 소개</w:t>
      </w:r>
    </w:p>
    <w:p>
      <w:pPr>
        <w:spacing w:after="140"/>
      </w:pPr>
      <w:r>
        <w:rPr>
          <w:rFonts w:ascii="맑은 고딕" w:eastAsia="맑은 고딕" w:hAnsi="맑은 고딕"/>
          <w:i/>
          <w:iCs/>
          <w:color w:val="6B6B6B"/>
          <w:sz w:val="19"/>
          <w:szCs w:val="19"/>
        </w:rPr>
        <w:t>⏱ 목표 0:30  |  화면: 과제명·담당자·데이터셋</w:t>
      </w:r>
    </w:p>
    <w:p>
      <w:pPr>
        <w:spacing w:after="120" w:line="300"/>
      </w:pPr>
      <w:r>
        <w:rPr>
          <w:rFonts w:ascii="맑은 고딕" w:eastAsia="맑은 고딕" w:hAnsi="맑은 고딕"/>
          <w:sz w:val="22"/>
          <w:szCs w:val="22"/>
        </w:rPr>
        <w:t>안녕하십니까. 지금부터 'FEMTO-ST 베어링 잔여수명 예측' 딥러닝 프로젝트 발표를 시작하겠습니다. 발표를 맡은 허남입니다.</w:t>
      </w:r>
    </w:p>
    <w:p>
      <w:pPr>
        <w:spacing w:after="120" w:line="300"/>
      </w:pPr>
      <w:r>
        <w:rPr>
          <w:rFonts w:ascii="맑은 고딕" w:eastAsia="맑은 고딕" w:hAnsi="맑은 고딕"/>
          <w:sz w:val="22"/>
          <w:szCs w:val="22"/>
        </w:rPr>
        <w:t>이 프로젝트는 제조 현장의 베어링 고장을 사전에 예측하는 예지보전 시스템으로, 머신러닝과 딥러닝을 하나의 파이프라인 안에서 통합한 것이 특징입니다. 사용한 데이터는 IEEE PHM 2012 챌린지의 FEMTO-ST PRONOSTIA 데이터셋이며, 오늘은 개발부터 튜닝, 결론까지의 전 과정을 순서대로 말씀드리겠습니다.</w:t>
      </w:r>
    </w:p>
    <w:p>
      <w:pPr>
        <w:spacing w:after="200" w:before="60"/>
      </w:pPr>
      <w:r>
        <w:rPr>
          <w:rFonts w:ascii="맑은 고딕" w:eastAsia="맑은 고딕" w:hAnsi="맑은 고딕"/>
          <w:i/>
          <w:iCs/>
          <w:color w:val="B85042"/>
          <w:sz w:val="20"/>
          <w:szCs w:val="20"/>
        </w:rPr>
        <w:t>▶ 목차로 넘어갑니다.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2 · 목차</w:t>
      </w:r>
    </w:p>
    <w:p>
      <w:pPr>
        <w:spacing w:after="140"/>
      </w:pPr>
      <w:r>
        <w:rPr>
          <w:rFonts w:ascii="맑은 고딕" w:eastAsia="맑은 고딕" w:hAnsi="맑은 고딕"/>
          <w:i/>
          <w:iCs/>
          <w:color w:val="6B6B6B"/>
          <w:sz w:val="19"/>
          <w:szCs w:val="19"/>
        </w:rPr>
        <w:t>⏱ 목표 0:40  |  화면: 개발 → 튜닝 → 결론 9개 항목</w:t>
      </w:r>
    </w:p>
    <w:p>
      <w:pPr>
        <w:spacing w:after="120" w:line="300"/>
      </w:pPr>
      <w:r>
        <w:rPr>
          <w:rFonts w:ascii="맑은 고딕" w:eastAsia="맑은 고딕" w:hAnsi="맑은 고딕"/>
          <w:sz w:val="22"/>
          <w:szCs w:val="22"/>
        </w:rPr>
        <w:t>먼저 오늘 발표의 흐름입니다. 크게 '개발 → 튜닝 → 결론'의 순서로 구성했습니다.</w:t>
      </w:r>
    </w:p>
    <w:p>
      <w:pPr>
        <w:spacing w:after="120" w:line="300"/>
      </w:pPr>
      <w:r>
        <w:rPr>
          <w:rFonts w:ascii="맑은 고딕" w:eastAsia="맑은 고딕" w:hAnsi="맑은 고딕"/>
          <w:sz w:val="22"/>
          <w:szCs w:val="22"/>
        </w:rPr>
        <w:t>1부에서 연구 배경과 데이터셋을, 2부에서 피처 분석과 머신러닝 분류를, 3부에서 딥러닝 RUL 예측의 개발·튜닝 과정을 단계별로 보여드립니다. 4부는 머신러닝과 딥러닝을 종합한 핵심 결론입니다.</w:t>
      </w:r>
    </w:p>
    <w:p>
      <w:pPr>
        <w:spacing w:after="120" w:line="300"/>
      </w:pPr>
      <w:r>
        <w:rPr>
          <w:rFonts w:ascii="맑은 고딕" w:eastAsia="맑은 고딕" w:hAnsi="맑은 고딕"/>
          <w:sz w:val="22"/>
          <w:szCs w:val="22"/>
        </w:rPr>
        <w:t>이후 별표로 표시한 보충 주제로, 현장 관점의 Recall 중심 평가와 오토인코더 비지도 탐지를 다루고, 마지막으로 Streamlit 통합 대시보드와 향후 로드맵으로 마무리하겠습니다.</w:t>
      </w:r>
    </w:p>
    <w:p>
      <w:pPr>
        <w:spacing w:after="200" w:before="60"/>
      </w:pPr>
      <w:r>
        <w:rPr>
          <w:rFonts w:ascii="맑은 고딕" w:eastAsia="맑은 고딕" w:hAnsi="맑은 고딕"/>
          <w:i/>
          <w:iCs/>
          <w:color w:val="B85042"/>
          <w:sz w:val="20"/>
          <w:szCs w:val="20"/>
        </w:rPr>
        <w:t>▶ 1부, 연구 배경과 데이터셋부터 보겠습니다.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3 · 연구 배경·목적 + 데이터셋</w:t>
      </w:r>
    </w:p>
    <w:p>
      <w:pPr>
        <w:spacing w:after="140"/>
      </w:pPr>
      <w:r>
        <w:rPr>
          <w:rFonts w:ascii="맑은 고딕" w:eastAsia="맑은 고딕" w:hAnsi="맑은 고딕"/>
          <w:i/>
          <w:iCs/>
          <w:color w:val="6B6B6B"/>
          <w:sz w:val="19"/>
          <w:szCs w:val="19"/>
        </w:rPr>
        <w:t>⏱ 목표 1:30  |  화면: 연구 목적 3단계 / PdM 효과 / 데이터 표</w:t>
      </w:r>
    </w:p>
    <w:p>
      <w:pPr>
        <w:spacing w:after="120" w:line="300"/>
      </w:pPr>
      <w:r>
        <w:rPr>
          <w:rFonts w:ascii="맑은 고딕" w:eastAsia="맑은 고딕" w:hAnsi="맑은 고딕"/>
          <w:sz w:val="22"/>
          <w:szCs w:val="22"/>
        </w:rPr>
        <w:t>본 연구의 목적은 명확합니다. 베어링의 진동과 온도 신호로부터 머신러닝과 딥러닝을 비교해, 잔여수명 즉 RUL을 정밀하게 예측하고, 현장에서 바로 쓸 수 있는 예지보전 시스템을 만드는 것입니다.</w:t>
      </w:r>
    </w:p>
    <w:p>
      <w:pPr>
        <w:spacing w:after="120" w:line="300"/>
      </w:pPr>
      <w:r>
        <w:rPr>
          <w:rFonts w:ascii="맑은 고딕" w:eastAsia="맑은 고딕" w:hAnsi="맑은 고딕"/>
          <w:sz w:val="22"/>
          <w:szCs w:val="22"/>
        </w:rPr>
        <w:t>접근 방식은 세 가지입니다. 첫째, GroupKFold 교차검증과 VIF 분석, 그리고 세 모델의 GridSearch로 머신러닝 베이스라인을 확보합니다. 둘째, GRU 시계열 학습으로 RUL 정밀도를 높이되 Batch Normalization과 Layer Normalization을 더합니다. 셋째, 이 모든 결과를 Streamlit 대시보드로 통합합니다.</w:t>
      </w:r>
    </w:p>
    <w:p>
      <w:pPr>
        <w:spacing w:after="120" w:line="300"/>
      </w:pPr>
      <w:r>
        <w:rPr>
          <w:rFonts w:ascii="맑은 고딕" w:eastAsia="맑은 고딕" w:hAnsi="맑은 고딕"/>
          <w:sz w:val="22"/>
          <w:szCs w:val="22"/>
        </w:rPr>
        <w:t>예지보전을 도입하면 기대 효과가 큽니다. 계획에 없던 설비 정지를 30에서 50퍼센트 줄이고, 유지보수 비용을 10에서 25퍼센트 절감할 수 있습니다. 성과 지표는 OOS RMSE 900분 미만, 개선율 10퍼센트 이상, 응답 2초 이내로 설정했습니다.</w:t>
      </w:r>
    </w:p>
    <w:p>
      <w:pPr>
        <w:spacing w:after="120" w:line="300"/>
      </w:pPr>
      <w:r>
        <w:rPr>
          <w:rFonts w:ascii="맑은 고딕" w:eastAsia="맑은 고딕" w:hAnsi="맑은 고딕"/>
          <w:sz w:val="22"/>
          <w:szCs w:val="22"/>
        </w:rPr>
        <w:t>데이터는 운전 조건 세 가지, 1800·1650·1500 rpm으로 구성되며, 1분마다 수평·수직 가속도와 온도를 측정합니다. 피처는 기본 9개에 파생 3개를 더한 12개입니다. 가장 중요한 점은, 테스트에 쓰는 11개 베어링이 학습에 전혀 등장하지 않은 미관측 베어링이라는 것입니다. GroupKFold로 베어링 단위를 분리해, 시계열 데이터 누수를 원천 차단했습니다.</w:t>
      </w:r>
    </w:p>
    <w:p>
      <w:pPr>
        <w:spacing w:after="200" w:before="60"/>
      </w:pPr>
      <w:r>
        <w:rPr>
          <w:rFonts w:ascii="맑은 고딕" w:eastAsia="맑은 고딕" w:hAnsi="맑은 고딕"/>
          <w:i/>
          <w:iCs/>
          <w:color w:val="B85042"/>
          <w:sz w:val="20"/>
          <w:szCs w:val="20"/>
        </w:rPr>
        <w:t>▶ 이 12개 피처를 어떻게 검증하고 분류에 썼는지 보겠습니다.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4 · 피처·VIF 분석 + ML 열화 분류</w:t>
      </w:r>
    </w:p>
    <w:p>
      <w:pPr>
        <w:spacing w:after="140"/>
      </w:pPr>
      <w:r>
        <w:rPr>
          <w:rFonts w:ascii="맑은 고딕" w:eastAsia="맑은 고딕" w:hAnsi="맑은 고딕"/>
          <w:i/>
          <w:iCs/>
          <w:color w:val="6B6B6B"/>
          <w:sz w:val="19"/>
          <w:szCs w:val="19"/>
        </w:rPr>
        <w:t>⏱ 목표 1:40  |  화면: VIF 표 / ML 3종 표 / RF 중요도 막대</w:t>
      </w:r>
    </w:p>
    <w:p>
      <w:pPr>
        <w:spacing w:after="120" w:line="300"/>
      </w:pPr>
      <w:r>
        <w:rPr>
          <w:rFonts w:ascii="맑은 고딕" w:eastAsia="맑은 고딕" w:hAnsi="맑은 고딕"/>
          <w:sz w:val="22"/>
          <w:szCs w:val="22"/>
        </w:rPr>
        <w:t>다음은 피처 분석과 머신러닝 분류입니다.</w:t>
      </w:r>
    </w:p>
    <w:p>
      <w:pPr>
        <w:spacing w:after="120" w:line="300"/>
      </w:pPr>
      <w:r>
        <w:rPr>
          <w:rFonts w:ascii="맑은 고딕" w:eastAsia="맑은 고딕" w:hAnsi="맑은 고딕"/>
          <w:sz w:val="22"/>
          <w:szCs w:val="22"/>
        </w:rPr>
        <w:t>먼저 VIF, 다중공선성 분석입니다. 12개 피처 모두 VIF가 10 미만으로 나왔습니다. 즉 서로 중복되는 피처가 없어, 12개 전체를 그대로 모델 입력으로 사용했습니다. 특히 주목할 점은 h_rms입니다. VIF만 보면 다소 높아 제거 후보로 오해할 수 있지만, 실제로는 RandomForest와 XGBoost 모두에서 피처 중요도 1위입니다. 오른쪽 막대를 보시면 RandomForest 기준 중요도 0.52로 압도적입니다.</w:t>
      </w:r>
    </w:p>
    <w:p>
      <w:pPr>
        <w:spacing w:after="120" w:line="300"/>
      </w:pPr>
      <w:r>
        <w:rPr>
          <w:rFonts w:ascii="맑은 고딕" w:eastAsia="맑은 고딕" w:hAnsi="맑은 고딕"/>
          <w:sz w:val="22"/>
          <w:szCs w:val="22"/>
        </w:rPr>
        <w:t>이제 머신러닝 분류 성능입니다. 여기서 핵심 메시지가 나옵니다. 표를 보시면, 교차검증 F1에서는 XGBoost가 0.94로 가장 높습니다. 그런데 실제 미관측 베어링, 즉 OOS에서는 상황이 완전히 뒤집힙니다. RandomForest와 XGBoost의 Recall이 0.5 수준으로 급락합니다. 학습에 쓴 3개 베어링에 과적합된 것입니다.</w:t>
      </w:r>
    </w:p>
    <w:p>
      <w:pPr>
        <w:spacing w:after="120" w:line="300"/>
      </w:pPr>
      <w:r>
        <w:rPr>
          <w:rFonts w:ascii="맑은 고딕" w:eastAsia="맑은 고딕" w:hAnsi="맑은 고딕"/>
          <w:sz w:val="22"/>
          <w:szCs w:val="22"/>
        </w:rPr>
        <w:t>반면 단순한 LogisticRegression은 OOS Recall이 0.89로 가장 우수합니다. 단순한 선형 경계가 오히려 새로운 베어링에 잘 전이된다는, 매우 중요한 결과입니다. 이 점은 뒤의 Recall 평가에서 다시 강조하겠습니다.</w:t>
      </w:r>
    </w:p>
    <w:p>
      <w:pPr>
        <w:spacing w:after="200" w:before="60"/>
      </w:pPr>
      <w:r>
        <w:rPr>
          <w:rFonts w:ascii="맑은 고딕" w:eastAsia="맑은 고딕" w:hAnsi="맑은 고딕"/>
          <w:i/>
          <w:iCs/>
          <w:color w:val="B85042"/>
          <w:sz w:val="20"/>
          <w:szCs w:val="20"/>
        </w:rPr>
        <w:t>▶ 이제 본격적인 딥러닝 RUL 예측의 튜닝 과정입니다.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5 · DL RUL 개발·튜닝 순서</w:t>
      </w:r>
    </w:p>
    <w:p>
      <w:pPr>
        <w:spacing w:after="140"/>
      </w:pPr>
      <w:r>
        <w:rPr>
          <w:rFonts w:ascii="맑은 고딕" w:eastAsia="맑은 고딕" w:hAnsi="맑은 고딕"/>
          <w:i/>
          <w:iCs/>
          <w:color w:val="6B6B6B"/>
          <w:sz w:val="19"/>
          <w:szCs w:val="19"/>
        </w:rPr>
        <w:t>⏱ 목표 1:30  |  화면: 6단계 RMSE 개선 흐름(단위: 분)</w:t>
      </w:r>
    </w:p>
    <w:p>
      <w:pPr>
        <w:spacing w:after="120" w:line="300"/>
      </w:pPr>
      <w:r>
        <w:rPr>
          <w:rFonts w:ascii="맑은 고딕" w:eastAsia="맑은 고딕" w:hAnsi="맑은 고딕"/>
          <w:sz w:val="22"/>
          <w:szCs w:val="22"/>
        </w:rPr>
        <w:t>이제 딥러닝 RUL 예측의 개발과 튜닝 과정입니다. 이 슬라이드는 단계별로 OOS RMSE가 어떻게 개선됐는지를 한눈에 보여줍니다. 단위는 분입니다.</w:t>
      </w:r>
    </w:p>
    <w:p>
      <w:pPr>
        <w:spacing w:after="120" w:line="300"/>
      </w:pPr>
      <w:r>
        <w:rPr>
          <w:rFonts w:ascii="맑은 고딕" w:eastAsia="맑은 고딕" w:hAnsi="맑은 고딕"/>
          <w:sz w:val="22"/>
          <w:szCs w:val="22"/>
        </w:rPr>
        <w:t>출발점인 0단계, RandomForest 베이스라인은 954.52분이었습니다. 1단계에서 LSTM으로 시퀀스를 도입하자 934.01분으로 약 2퍼센트 개선됩니다. 2단계에서 다섯 가지 아키텍처를 비교해 GRU를 선택하니 909.96분까지 내려갑니다.</w:t>
      </w:r>
    </w:p>
    <w:p>
      <w:pPr>
        <w:spacing w:after="120" w:line="300"/>
      </w:pPr>
      <w:r>
        <w:rPr>
          <w:rFonts w:ascii="맑은 고딕" w:eastAsia="맑은 고딕" w:hAnsi="맑은 고딕"/>
          <w:sz w:val="22"/>
          <w:szCs w:val="22"/>
        </w:rPr>
        <w:t>3단계 GridSearch에서는 일시적으로 956분으로 올라가지만, 이는 최적 조합을 탐색하는 과정이었습니다. 4단계에서 배치 크기를 16으로 줄이자 836.60분으로 크게 개선됩니다. 작은 배치가 만드는 그래디언트 노이즈가 정규화 효과를 낸 것입니다. 마지막 5단계, Batch Normalization과 Layer Normalization을 적용한 GRU v2가 810.38분으로 최종 모델이 됩니다.</w:t>
      </w:r>
    </w:p>
    <w:p>
      <w:pPr>
        <w:spacing w:after="120" w:line="300"/>
      </w:pPr>
      <w:r>
        <w:rPr>
          <w:rFonts w:ascii="맑은 고딕" w:eastAsia="맑은 고딕" w:hAnsi="맑은 고딕"/>
          <w:sz w:val="22"/>
          <w:szCs w:val="22"/>
        </w:rPr>
        <w:t>정리하면, RandomForest 954.52분에서 GRU v2 810.38분으로 OOS RMSE를 15.08퍼센트 줄였고, MAE도 757분에서 665분으로 낮췄습니다. 모든 수치는 소스 결과 JSON에서 직접 검증한 값입니다.</w:t>
      </w:r>
    </w:p>
    <w:p>
      <w:pPr>
        <w:spacing w:after="200" w:before="60"/>
      </w:pPr>
      <w:r>
        <w:rPr>
          <w:rFonts w:ascii="맑은 고딕" w:eastAsia="맑은 고딕" w:hAnsi="맑은 고딕"/>
          <w:i/>
          <w:iCs/>
          <w:color w:val="B85042"/>
          <w:sz w:val="20"/>
          <w:szCs w:val="20"/>
        </w:rPr>
        <w:t>▶ 이 흐름의 상세 근거를 다음 장에서 보겠습니다.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6 · 튜닝 상세 — 아키텍처 5종 + 하이퍼파라미터</w:t>
      </w:r>
    </w:p>
    <w:p>
      <w:pPr>
        <w:spacing w:after="140"/>
      </w:pPr>
      <w:r>
        <w:rPr>
          <w:rFonts w:ascii="맑은 고딕" w:eastAsia="맑은 고딕" w:hAnsi="맑은 고딕"/>
          <w:i/>
          <w:iCs/>
          <w:color w:val="6B6B6B"/>
          <w:sz w:val="19"/>
          <w:szCs w:val="19"/>
        </w:rPr>
        <w:t>⏱ 목표 1:30  |  화면: 5종 비교 표 / 튜닝 표 / 최종 모델 구조</w:t>
      </w:r>
    </w:p>
    <w:p>
      <w:pPr>
        <w:spacing w:after="120" w:line="300"/>
      </w:pPr>
      <w:r>
        <w:rPr>
          <w:rFonts w:ascii="맑은 고딕" w:eastAsia="맑은 고딕" w:hAnsi="맑은 고딕"/>
          <w:sz w:val="22"/>
          <w:szCs w:val="22"/>
        </w:rPr>
        <w:t>이 슬라이드는 앞 과정의 상세 근거입니다.</w:t>
      </w:r>
    </w:p>
    <w:p>
      <w:pPr>
        <w:spacing w:after="120" w:line="300"/>
      </w:pPr>
      <w:r>
        <w:rPr>
          <w:rFonts w:ascii="맑은 고딕" w:eastAsia="맑은 고딕" w:hAnsi="맑은 고딕"/>
          <w:sz w:val="22"/>
          <w:szCs w:val="22"/>
        </w:rPr>
        <w:t>왼쪽 위, 아키텍처 5종 비교입니다. window를 30으로 두고 비교했을 때 GRU가 OOS RMSE 909.96분으로 가장 낮았습니다. LSTM, BiLSTM, CNN 계열보다 GRU가 인과적 시계열 패턴 학습에 적합했고, 파라미터도 더 적습니다.</w:t>
      </w:r>
    </w:p>
    <w:p>
      <w:pPr>
        <w:spacing w:after="120" w:line="300"/>
      </w:pPr>
      <w:r>
        <w:rPr>
          <w:rFonts w:ascii="맑은 고딕" w:eastAsia="맑은 고딕" w:hAnsi="맑은 고딕"/>
          <w:sz w:val="22"/>
          <w:szCs w:val="22"/>
        </w:rPr>
        <w:t>오른쪽은 배치·옵티마이저·정규화 튜닝입니다. GridSearch 최적이 956분, 배치 16에서 836분, 그리고 GRU v2의 BN과 LN 조합에서 810.38분으로 최종 확정됐습니다.</w:t>
      </w:r>
    </w:p>
    <w:p>
      <w:pPr>
        <w:spacing w:after="120" w:line="300"/>
      </w:pPr>
      <w:r>
        <w:rPr>
          <w:rFonts w:ascii="맑은 고딕" w:eastAsia="맑은 고딕" w:hAnsi="맑은 고딕"/>
          <w:sz w:val="22"/>
          <w:szCs w:val="22"/>
        </w:rPr>
        <w:t>여기서 한 가지 정확히 구분해 말씀드리겠습니다. 슬라이드에 보이는 16.75퍼센트는 'GRU v1 대비 v2'의 딥러닝 내부 개선율입니다. 앞서 말씀드린 RandomForest 베이스라인 대비 개선율은 15.08퍼센트입니다. 분모가 다르니 두 숫자를 혼동하지 않으셔야 합니다.</w:t>
      </w:r>
    </w:p>
    <w:p>
      <w:pPr>
        <w:spacing w:after="120" w:line="300"/>
      </w:pPr>
      <w:r>
        <w:rPr>
          <w:rFonts w:ascii="맑은 고딕" w:eastAsia="맑은 고딕" w:hAnsi="맑은 고딕"/>
          <w:sz w:val="22"/>
          <w:szCs w:val="22"/>
        </w:rPr>
        <w:t>최종 모델 구조는 화면 하단과 같습니다. 입력은 윈도우 20, 피처 12이고, GRU 두 개 층 사이에 LayerNorm과 BatchNorm을 배치했습니다. Adam 옵티마이저에 EarlyStopping과 ModelCheckpoint로 과적합을 제어했고, 정규화 덕분에 학습 epoch가 54에서 33으로 단축됐습니다.</w:t>
      </w:r>
    </w:p>
    <w:p>
      <w:pPr>
        <w:spacing w:after="200" w:before="60"/>
      </w:pPr>
      <w:r>
        <w:rPr>
          <w:rFonts w:ascii="맑은 고딕" w:eastAsia="맑은 고딕" w:hAnsi="맑은 고딕"/>
          <w:i/>
          <w:iCs/>
          <w:color w:val="B85042"/>
          <w:sz w:val="20"/>
          <w:szCs w:val="20"/>
        </w:rPr>
        <w:t>▶ 이 탐색을 어떻게 관리했는지, MLflow 부록을 잠깐 보겠습니다.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7 · 부록 — MLflow 하이퍼파라미터 탐색 (48 runs)</w:t>
      </w:r>
    </w:p>
    <w:p>
      <w:pPr>
        <w:spacing w:after="140"/>
      </w:pPr>
      <w:r>
        <w:rPr>
          <w:rFonts w:ascii="맑은 고딕" w:eastAsia="맑은 고딕" w:hAnsi="맑은 고딕"/>
          <w:i/>
          <w:iCs/>
          <w:color w:val="6B6B6B"/>
          <w:sz w:val="19"/>
          <w:szCs w:val="19"/>
        </w:rPr>
        <w:t>⏱ 목표 1:00  |  화면: Training Runs 상위 8 / Parallel Coordinates</w:t>
      </w:r>
    </w:p>
    <w:p>
      <w:pPr>
        <w:spacing w:after="120" w:line="300"/>
      </w:pPr>
      <w:r>
        <w:rPr>
          <w:rFonts w:ascii="맑은 고딕" w:eastAsia="맑은 고딕" w:hAnsi="맑은 고딕"/>
          <w:sz w:val="22"/>
          <w:szCs w:val="22"/>
        </w:rPr>
        <w:t>이 부록은 하이퍼파라미터 탐색을 MLflow로 체계적으로 관리한 결과입니다. 총 48개의 run을 기록했습니다.</w:t>
      </w:r>
    </w:p>
    <w:p>
      <w:pPr>
        <w:spacing w:after="120" w:line="300"/>
      </w:pPr>
      <w:r>
        <w:rPr>
          <w:rFonts w:ascii="맑은 고딕" w:eastAsia="맑은 고딕" w:hAnsi="맑은 고딕"/>
          <w:sz w:val="22"/>
          <w:szCs w:val="22"/>
        </w:rPr>
        <w:t>화면 왼쪽은 val_loss 기준 상위 8개 run이고, 오른쪽 Parallel Coordinates Plot에서 파란색이 우수, 빨간색이 열등한 조합입니다.</w:t>
      </w:r>
    </w:p>
    <w:p>
      <w:pPr>
        <w:spacing w:after="120" w:line="300"/>
      </w:pPr>
      <w:r>
        <w:rPr>
          <w:rFonts w:ascii="맑은 고딕" w:eastAsia="맑은 고딕" w:hAnsi="맑은 고딕"/>
          <w:sz w:val="22"/>
          <w:szCs w:val="22"/>
        </w:rPr>
        <w:t>탐색 결과 최적 조합은 GRU 모델에 유닛 64와 32, dropout 0.2, 배치 16이었고, val_loss는 0.004138이었습니다. 흥미로운 점은, 이 최적값이 앞서 경험적으로 정한 설정과 그대로 일치했다는 것입니다. 즉 MLflow가 우리의 직관적 설정을 정량적으로 검증해 준 셈입니다.</w:t>
      </w:r>
    </w:p>
    <w:p>
      <w:pPr>
        <w:spacing w:after="200" w:before="60"/>
      </w:pPr>
      <w:r>
        <w:rPr>
          <w:rFonts w:ascii="맑은 고딕" w:eastAsia="맑은 고딕" w:hAnsi="맑은 고딕"/>
          <w:i/>
          <w:iCs/>
          <w:color w:val="B85042"/>
          <w:sz w:val="20"/>
          <w:szCs w:val="20"/>
        </w:rPr>
        <w:t>▶ 이제 머신러닝과 딥러닝을 종합한 핵심 결론입니다.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8 · 핵심 결론 — ML vs DL 종합</w:t>
      </w:r>
    </w:p>
    <w:p>
      <w:pPr>
        <w:spacing w:after="140"/>
      </w:pPr>
      <w:r>
        <w:rPr>
          <w:rFonts w:ascii="맑은 고딕" w:eastAsia="맑은 고딕" w:hAnsi="맑은 고딕"/>
          <w:i/>
          <w:iCs/>
          <w:color w:val="6B6B6B"/>
          <w:sz w:val="19"/>
          <w:szCs w:val="19"/>
        </w:rPr>
        <w:t>⏱ 목표 1:30  |  화면: ML vs DL 비교 표 / 4대 결론</w:t>
      </w:r>
    </w:p>
    <w:p>
      <w:pPr>
        <w:spacing w:after="120" w:line="300"/>
      </w:pPr>
      <w:r>
        <w:rPr>
          <w:rFonts w:ascii="맑은 고딕" w:eastAsia="맑은 고딕" w:hAnsi="맑은 고딕"/>
          <w:sz w:val="22"/>
          <w:szCs w:val="22"/>
        </w:rPr>
        <w:t>이제 머신러닝과 딥러닝을 종합한 핵심 결론입니다. 모두 검증된 소스값 기준입니다.</w:t>
      </w:r>
    </w:p>
    <w:p>
      <w:pPr>
        <w:spacing w:after="120" w:line="300"/>
      </w:pPr>
      <w:r>
        <w:rPr>
          <w:rFonts w:ascii="맑은 고딕" w:eastAsia="맑은 고딕" w:hAnsi="맑은 고딕"/>
          <w:sz w:val="22"/>
          <w:szCs w:val="22"/>
        </w:rPr>
        <w:t>표를 위에서부터 보겠습니다. RUL 예측의 OOS RMSE는 RandomForest 954.52에서 GRU v2 810.38로 15.08퍼센트 개선됐습니다. MAE도 12퍼센트 이상 줄었습니다. 반면 열화 분류에서는 딥러닝이 아니라 머신러닝, 그중에서도 LogisticRegression의 Recall 0.89가 최적입니다. 그리고 라벨이 필요 없는 비지도 탐지에서는 오토인코더가 AUC 0.968을 기록했습니다.</w:t>
      </w:r>
    </w:p>
    <w:p>
      <w:pPr>
        <w:spacing w:after="120" w:line="300"/>
      </w:pPr>
      <w:r>
        <w:rPr>
          <w:rFonts w:ascii="맑은 고딕" w:eastAsia="맑은 고딕" w:hAnsi="맑은 고딕"/>
          <w:sz w:val="22"/>
          <w:szCs w:val="22"/>
        </w:rPr>
        <w:t>이 결과가 주는 네 가지 메시지입니다. 첫째, 딥러닝의 시계열 구조 강점이 RUL 회귀에서 발휘됐고, 그 핵심 기여는 BN과 LN 정규화였습니다. 둘째, 데이터 유형이 모델을 결정합니다. 테이블형 독립 데이터는 머신러닝, 분당 측정되는 진짜 시계열은 딥러닝이 우세합니다.</w:t>
      </w:r>
    </w:p>
    <w:p>
      <w:pPr>
        <w:spacing w:after="120" w:line="300"/>
      </w:pPr>
      <w:r>
        <w:rPr>
          <w:rFonts w:ascii="맑은 고딕" w:eastAsia="맑은 고딕" w:hAnsi="맑은 고딕"/>
          <w:sz w:val="22"/>
          <w:szCs w:val="22"/>
        </w:rPr>
        <w:t>셋째, 새로운 베어링에 대한 일반화는 의외로 단순한 LogisticRegression이 가장 강했습니다. 넷째, GRU가 열화 말기의 RUL 급하강을 포착해, 교체 경보를 선제적으로 낼 수 있습니다.</w:t>
      </w:r>
    </w:p>
    <w:p>
      <w:pPr>
        <w:spacing w:after="200" w:before="60"/>
      </w:pPr>
      <w:r>
        <w:rPr>
          <w:rFonts w:ascii="맑은 고딕" w:eastAsia="맑은 고딕" w:hAnsi="맑은 고딕"/>
          <w:i/>
          <w:iCs/>
          <w:color w:val="B85042"/>
          <w:sz w:val="20"/>
          <w:szCs w:val="20"/>
        </w:rPr>
        <w:t>▶ 그 셋째 메시지, 왜 Recall을 기준으로 삼았는지 짚겠습니다.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9 · Recall 중심 성능 평가</w:t>
      </w:r>
    </w:p>
    <w:p>
      <w:pPr>
        <w:spacing w:after="140"/>
      </w:pPr>
      <w:r>
        <w:rPr>
          <w:rFonts w:ascii="맑은 고딕" w:eastAsia="맑은 고딕" w:hAnsi="맑은 고딕"/>
          <w:i/>
          <w:iCs/>
          <w:color w:val="6B6B6B"/>
          <w:sz w:val="19"/>
          <w:szCs w:val="19"/>
        </w:rPr>
        <w:t>⏱ 목표 1:20  |  화면: FN≫FP 메시지 / OOS Recall 표</w:t>
      </w:r>
    </w:p>
    <w:p>
      <w:pPr>
        <w:spacing w:after="120" w:line="300"/>
      </w:pPr>
      <w:r>
        <w:rPr>
          <w:rFonts w:ascii="맑은 고딕" w:eastAsia="맑은 고딕" w:hAnsi="맑은 고딕"/>
          <w:sz w:val="22"/>
          <w:szCs w:val="22"/>
        </w:rPr>
        <w:t>이번에는 왜 Recall을 핵심 지표로 삼았는지 말씀드립니다.</w:t>
      </w:r>
    </w:p>
    <w:p>
      <w:pPr>
        <w:spacing w:after="120" w:line="300"/>
      </w:pPr>
      <w:r>
        <w:rPr>
          <w:rFonts w:ascii="맑은 고딕" w:eastAsia="맑은 고딕" w:hAnsi="맑은 고딕"/>
          <w:sz w:val="22"/>
          <w:szCs w:val="22"/>
        </w:rPr>
        <w:t>현장 예지보전에서는 고장을 놓치는 미탐지, 즉 False Negative의 비용이 오경보의 비용보다 훨씬 큽니다. 베어링 고장을 놓치면 설비 파손과 라인 전체 정지로 이어지기 때문입니다.</w:t>
      </w:r>
    </w:p>
    <w:p>
      <w:pPr>
        <w:spacing w:after="120" w:line="300"/>
      </w:pPr>
      <w:r>
        <w:rPr>
          <w:rFonts w:ascii="맑은 고딕" w:eastAsia="맑은 고딕" w:hAnsi="맑은 고딕"/>
          <w:sz w:val="22"/>
          <w:szCs w:val="22"/>
        </w:rPr>
        <w:t>그래서 Recall 기준으로 다시 보면, 실제 미관측 베어링 11개에서 LogisticRegression이 Recall 0.89로 압도적입니다. RandomForest와 XGBoost는 Precision은 0.99로 높지만 Recall이 0.5대에 머물러, OOS에서 과적합이 드러납니다.</w:t>
      </w:r>
    </w:p>
    <w:p>
      <w:pPr>
        <w:spacing w:after="120" w:line="300"/>
      </w:pPr>
      <w:r>
        <w:rPr>
          <w:rFonts w:ascii="맑은 고딕" w:eastAsia="맑은 고딕" w:hAnsi="맑은 고딕"/>
          <w:sz w:val="22"/>
          <w:szCs w:val="22"/>
        </w:rPr>
        <w:t>결론적으로, 모델 선택 기준을 Recall로 바꾸면 결과가 달라집니다. 새 베어링 일반화 관점에서 LogisticRegression을 현장 배포 모델로 권장하며, 운영 단계에서는 임계값을 낮춰 미탐지를 최소화하는 전략을 씁니다.</w:t>
      </w:r>
    </w:p>
    <w:p>
      <w:pPr>
        <w:spacing w:after="200" w:before="60"/>
      </w:pPr>
      <w:r>
        <w:rPr>
          <w:rFonts w:ascii="맑은 고딕" w:eastAsia="맑은 고딕" w:hAnsi="맑은 고딕"/>
          <w:i/>
          <w:iCs/>
          <w:color w:val="B85042"/>
          <w:sz w:val="20"/>
          <w:szCs w:val="20"/>
        </w:rPr>
        <w:t>▶ 라벨이 아예 없는 신규 설비는 어떻게 다루는지 보겠습니다.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10 · Autoencoder 비지도 탐지 + 임계값 결정</w:t>
      </w:r>
    </w:p>
    <w:p>
      <w:pPr>
        <w:spacing w:after="140"/>
      </w:pPr>
      <w:r>
        <w:rPr>
          <w:rFonts w:ascii="맑은 고딕" w:eastAsia="맑은 고딕" w:hAnsi="맑은 고딕"/>
          <w:i/>
          <w:iCs/>
          <w:color w:val="6B6B6B"/>
          <w:sz w:val="19"/>
          <w:szCs w:val="19"/>
        </w:rPr>
        <w:t>⏱ 목표 1:30  |  화면: AE 표 / AUC vs Threshold 구분 표</w:t>
      </w:r>
    </w:p>
    <w:p>
      <w:pPr>
        <w:spacing w:after="120" w:line="300"/>
      </w:pPr>
      <w:r>
        <w:rPr>
          <w:rFonts w:ascii="맑은 고딕" w:eastAsia="맑은 고딕" w:hAnsi="맑은 고딕"/>
          <w:sz w:val="22"/>
          <w:szCs w:val="22"/>
        </w:rPr>
        <w:t>다음은 라벨이 없는 신규 설비를 위한 오토인코더 비지도 탐지와 임계값 결정 원리입니다.</w:t>
      </w:r>
    </w:p>
    <w:p>
      <w:pPr>
        <w:spacing w:after="120" w:line="300"/>
      </w:pPr>
      <w:r>
        <w:rPr>
          <w:rFonts w:ascii="맑은 고딕" w:eastAsia="맑은 고딕" w:hAnsi="맑은 고딕"/>
          <w:sz w:val="22"/>
          <w:szCs w:val="22"/>
        </w:rPr>
        <w:t>오토인코더는 정상 데이터만 학습합니다. 구조는 64-32-16-32-64로, 입력을 압축했다가 복원하면서 재구성 오류가 큰 경우를 이상으로 판정합니다. 결과를 보면 비지도 방식임에도 AUC 0.968로 지도학습 RandomForest에 근접했고, 고장의 약 83퍼센트를 탐지했습니다. 그래서 오토인코더로 1차 조기 감지하고, RandomForest로 2차 정밀 분류하는 2단계 파이프라인을 권장합니다.</w:t>
      </w:r>
    </w:p>
    <w:p>
      <w:pPr>
        <w:spacing w:after="120" w:line="300"/>
      </w:pPr>
      <w:r>
        <w:rPr>
          <w:rFonts w:ascii="맑은 고딕" w:eastAsia="맑은 고딕" w:hAnsi="맑은 고딕"/>
          <w:sz w:val="22"/>
          <w:szCs w:val="22"/>
        </w:rPr>
        <w:t>오른쪽은 자주 혼동되는 두 개념, AUC와 Threshold의 구분입니다. AUC는 임계값과 무관한 모델의 변별력으로, 모델을 비교하는 기준입니다. 반면 Threshold는 현장 운영 정책입니다. 임계값을 0.3에서 0.45로 낮추면 Recall이 올라가 미탐지를 줄이므로 예지보전에 권장되고, 높이면 오경보를 줄입니다.</w:t>
      </w:r>
    </w:p>
    <w:p>
      <w:pPr>
        <w:spacing w:after="120" w:line="300"/>
      </w:pPr>
      <w:r>
        <w:rPr>
          <w:rFonts w:ascii="맑은 고딕" w:eastAsia="맑은 고딕" w:hAnsi="맑은 고딕"/>
          <w:sz w:val="22"/>
          <w:szCs w:val="22"/>
        </w:rPr>
        <w:t>이 임계값은 Streamlit 사이드바 슬라이더로 실시간 조정하며, 변경 이력까지 감사 추적으로 남깁니다.</w:t>
      </w:r>
    </w:p>
    <w:p>
      <w:pPr>
        <w:spacing w:after="200" w:before="60"/>
      </w:pPr>
      <w:r>
        <w:rPr>
          <w:rFonts w:ascii="맑은 고딕" w:eastAsia="맑은 고딕" w:hAnsi="맑은 고딕"/>
          <w:i/>
          <w:iCs/>
          <w:color w:val="B85042"/>
          <w:sz w:val="20"/>
          <w:szCs w:val="20"/>
        </w:rPr>
        <w:t>▶ 이 모든 기능을 담은 통합 대시보드와 로드맵입니다.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11 · Streamlit 통합 진단 + 향후 로드맵</w:t>
      </w:r>
    </w:p>
    <w:p>
      <w:pPr>
        <w:spacing w:after="140"/>
      </w:pPr>
      <w:r>
        <w:rPr>
          <w:rFonts w:ascii="맑은 고딕" w:eastAsia="맑은 고딕" w:hAnsi="맑은 고딕"/>
          <w:i/>
          <w:iCs/>
          <w:color w:val="6B6B6B"/>
          <w:sz w:val="19"/>
          <w:szCs w:val="19"/>
        </w:rPr>
        <w:t>⏱ 목표 1:20  |  화면: 6탭 / 품질 PASS 표 / 로드맵 / 배포</w:t>
      </w:r>
    </w:p>
    <w:p>
      <w:pPr>
        <w:spacing w:after="120" w:line="300"/>
      </w:pPr>
      <w:r>
        <w:rPr>
          <w:rFonts w:ascii="맑은 고딕" w:eastAsia="맑은 고딕" w:hAnsi="맑은 고딕"/>
          <w:sz w:val="22"/>
          <w:szCs w:val="22"/>
        </w:rPr>
        <w:t>이제 이 모든 결과를 통합한 Streamlit 진단 대시보드입니다. 총 6개 탭으로 구성됩니다. 데이터 탐색, 머신러닝 성능, 딥러닝 RUL 예측, 실시간 통합 진단, 아키텍처 5종 비교, 그리고 CNN 이미지 분류입니다.</w:t>
      </w:r>
    </w:p>
    <w:p>
      <w:pPr>
        <w:spacing w:after="120" w:line="300"/>
      </w:pPr>
      <w:r>
        <w:rPr>
          <w:rFonts w:ascii="맑은 고딕" w:eastAsia="맑은 고딕" w:hAnsi="맑은 고딕"/>
          <w:sz w:val="22"/>
          <w:szCs w:val="22"/>
        </w:rPr>
        <w:t>시스템 품질 지표는 모두 통과했습니다. RUL RMSE는 기준 900분 대비 810.38분, 개선율은 기준 10퍼센트 대비 15.08퍼센트, 응답시간은 2초 기준에 약 0.1초, 누수 방지는 GroupKFold 베어링 분리로 모두 PASS입니다.</w:t>
      </w:r>
    </w:p>
    <w:p>
      <w:pPr>
        <w:spacing w:after="120" w:line="300"/>
      </w:pPr>
      <w:r>
        <w:rPr>
          <w:rFonts w:ascii="맑은 고딕" w:eastAsia="맑은 고딕" w:hAnsi="맑은 고딕"/>
          <w:sz w:val="22"/>
          <w:szCs w:val="22"/>
        </w:rPr>
        <w:t>향후 로드맵은 세 단계입니다. Phase 2에서 Attention과 SHAP 해설을 더하고, Phase 3에서 GRU와 1D-CNN 앙상블 및 실공장 적용을, Phase 4에서 Transformer와 IoT 실시간 연동을 목표로 합니다. 현재 시스템은 dlfactoryautomation.streamlit.app에 배포되어 있습니다.</w:t>
      </w:r>
    </w:p>
    <w:p>
      <w:pPr>
        <w:spacing w:after="200" w:before="60"/>
      </w:pPr>
      <w:r>
        <w:rPr>
          <w:rFonts w:ascii="맑은 고딕" w:eastAsia="맑은 고딕" w:hAnsi="맑은 고딕"/>
          <w:i/>
          <w:iCs/>
          <w:color w:val="B85042"/>
          <w:sz w:val="20"/>
          <w:szCs w:val="20"/>
        </w:rPr>
        <w:t>▶ 마지막으로 핵심을 요약하겠습니다.</w:t>
      </w:r>
    </w:p>
    <w:p>
      <w:pPr>
        <w:pStyle w:val="Heading1"/>
        <w:pBdr>
          <w:bottom w:val="single" w:color="1E2761" w:sz="6" w:space="4"/>
        </w:pBdr>
        <w:spacing w:after="120" w:before="320"/>
      </w:pPr>
      <w:r>
        <w:rPr>
          <w:rFonts w:ascii="맑은 고딕" w:eastAsia="맑은 고딕" w:hAnsi="맑은 고딕"/>
          <w:b/>
          <w:bCs/>
          <w:color w:val="1E2761"/>
          <w:sz w:val="28"/>
          <w:szCs w:val="28"/>
        </w:rPr>
        <w:t>슬라이드 12 · 핵심 요약 (마무리)</w:t>
      </w:r>
    </w:p>
    <w:p>
      <w:pPr>
        <w:spacing w:after="140"/>
      </w:pPr>
      <w:r>
        <w:rPr>
          <w:rFonts w:ascii="맑은 고딕" w:eastAsia="맑은 고딕" w:hAnsi="맑은 고딕"/>
          <w:i/>
          <w:iCs/>
          <w:color w:val="6B6B6B"/>
          <w:sz w:val="19"/>
          <w:szCs w:val="19"/>
        </w:rPr>
        <w:t>⏱ 목표 0:50  |  화면: GRU v2 810.38 / 검증 메시지</w:t>
      </w:r>
    </w:p>
    <w:p>
      <w:pPr>
        <w:spacing w:after="120" w:line="300"/>
      </w:pPr>
      <w:r>
        <w:rPr>
          <w:rFonts w:ascii="맑은 고딕" w:eastAsia="맑은 고딕" w:hAnsi="맑은 고딕"/>
          <w:sz w:val="22"/>
          <w:szCs w:val="22"/>
        </w:rPr>
        <w:t>마지막으로 핵심을 요약하겠습니다. 최종 모델 GRU v2는 OOS RMSE 810.38분으로, RandomForest 베이스라인 대비 15.08퍼센트 개선됐습니다. 열화 분류의 최적 모델은 LogisticRegression으로 Recall 0.89를 기록했고, 오토인코더 비지도 탐지는 AUC 0.968을 달성했습니다.</w:t>
      </w:r>
    </w:p>
    <w:p>
      <w:pPr>
        <w:spacing w:after="120" w:line="300"/>
      </w:pPr>
      <w:r>
        <w:rPr>
          <w:rFonts w:ascii="맑은 고딕" w:eastAsia="맑은 고딕" w:hAnsi="맑은 고딕"/>
          <w:sz w:val="22"/>
          <w:szCs w:val="22"/>
        </w:rPr>
        <w:t>개발과 튜닝을 6단계로 진행하며 RandomForest에서 GRU v2까지 누적 개선했고, GroupKFold로 시계열 누수를 차단했습니다. 그리고 무엇보다, 발표에 사용된 모든 수치는 소스 결과 JSON으로 검증한 값이며, 허위나 과장된 지표는 없습니다.</w:t>
      </w:r>
    </w:p>
    <w:p>
      <w:pPr>
        <w:spacing w:after="120" w:line="300"/>
      </w:pPr>
      <w:r>
        <w:rPr>
          <w:rFonts w:ascii="맑은 고딕" w:eastAsia="맑은 고딕" w:hAnsi="맑은 고딕"/>
          <w:sz w:val="22"/>
          <w:szCs w:val="22"/>
        </w:rPr>
        <w:t>이상으로 발표를 마치겠습니다. 감사합니다.</w:t>
      </w:r>
    </w:p>
    <w:p>
      <w:pPr>
        <w:spacing w:before="200"/>
      </w:pPr>
      <w:r>
        <w:rPr>
          <w:rFonts w:ascii="맑은 고딕" w:eastAsia="맑은 고딕" w:hAnsi="맑은 고딕"/>
          <w:b/>
          <w:bCs/>
          <w:color w:val="1E2761"/>
          <w:sz w:val="22"/>
          <w:szCs w:val="22"/>
        </w:rPr>
        <w:t>— 예상 Q&amp;A 대비 —</w:t>
      </w:r>
    </w:p>
    <w:p>
      <w:pPr>
        <w:spacing w:after="120" w:line="300"/>
      </w:pPr>
      <w:r>
        <w:rPr>
          <w:rFonts w:ascii="맑은 고딕" w:eastAsia="맑은 고딕" w:hAnsi="맑은 고딕"/>
          <w:sz w:val="22"/>
          <w:szCs w:val="22"/>
        </w:rPr>
        <w:t>Q. 왜 분류는 LR, 회귀는 GRU로 모델을 나눴나요?  →  데이터 특성이 다르기 때문입니다. 열화 분류는 새 베어링 일반화가 중요해 단순 선형 경계의 LR이 OOS Recall 0.89로 우수했고, RUL 회귀는 분당 측정되는 시계열 추세 학습이 중요해 GRU가 우세했습니다.</w:t>
      </w:r>
    </w:p>
    <w:p>
      <w:pPr>
        <w:spacing w:after="120" w:line="300"/>
      </w:pPr>
      <w:r>
        <w:rPr>
          <w:rFonts w:ascii="맑은 고딕" w:eastAsia="맑은 고딕" w:hAnsi="맑은 고딕"/>
          <w:sz w:val="22"/>
          <w:szCs w:val="22"/>
        </w:rPr>
        <w:t>Q. RF 대비 개선율이 자료마다 다른데요?  →  15.08퍼센트는 RandomForest 베이스라인 대비, 16.75퍼센트는 GRU v1 대비 v2의 딥러닝 내부 개선율입니다. 분모가 다른 별개 수치입니다.</w:t>
      </w:r>
    </w:p>
    <w:p>
      <w:pPr>
        <w:spacing w:after="120" w:line="300"/>
      </w:pPr>
      <w:r>
        <w:rPr>
          <w:rFonts w:ascii="맑은 고딕" w:eastAsia="맑은 고딕" w:hAnsi="맑은 고딕"/>
          <w:sz w:val="22"/>
          <w:szCs w:val="22"/>
        </w:rPr>
        <w:t>Q. 데이터 누수는 어떻게 막았나요?  →  GroupKFold로 베어링 단위를 통째로 분리해, 같은 베어링의 데이터가 학습과 검증에 섞이지 않도록 했습니다. 테스트 11개는 학습에 전혀 쓰지 않은 미관측 베어링입니다.</w:t>
      </w:r>
    </w:p>
    <w:p>
      <w:r>
        <w:br w:type="page"/>
      </w:r>
    </w:p>
    <w:p>
      <w:r>
        <w:t>── PPT v4 업데이트 (commit fa722a62) — 슬라이드 순서 변경 및 신규 추가 ──</w:t>
      </w:r>
    </w:p>
    <w:p>
      <w:r>
        <w:rPr>
          <w:b/>
          <w:sz w:val="28"/>
        </w:rPr>
        <w:t>── PPT v4 업데이트 (commit fa722a62) — 슬라이드 순서 변경 및 신규 추가 ──</w:t>
      </w:r>
    </w:p>
    <w:p>
      <w:r>
        <w:rPr>
          <w:b/>
        </w:rPr>
        <w:t>ML PPT 흐름(배경→데이터→EDA→ML결과→비지도→DL개발→배포→결론)에 맞게 19장으로 재배열.</w:t>
      </w:r>
    </w:p>
    <w:p>
      <w:r>
        <w:t>표. PPT v4 슬라이드 매핑 (★=신규)</w:t>
      </w:r>
    </w:p>
    <w:tbl>
      <w:tblPr>
        <w:tblW w:type="auto" w:w="0"/>
        <w:tblLook w:firstColumn="1" w:firstRow="1" w:lastColumn="0" w:lastRow="0" w:noHBand="0" w:noVBand="1" w:val="04A0"/>
      </w:tblPr>
      <w:tblGrid>
        <w:gridCol w:w="3120"/>
        <w:gridCol w:w="3120"/>
        <w:gridCol w:w="3120"/>
      </w:tblGrid>
      <w:tr>
        <w:tc>
          <w:tcPr>
            <w:tcW w:type="dxa" w:w="3120"/>
          </w:tcPr>
          <w:p>
            <w:r>
              <w:rPr>
                <w:b/>
              </w:rPr>
              <w:t>v4 번호</w:t>
            </w:r>
          </w:p>
        </w:tc>
        <w:tc>
          <w:tcPr>
            <w:tcW w:type="dxa" w:w="3120"/>
          </w:tcPr>
          <w:p>
            <w:r>
              <w:rPr>
                <w:b/>
              </w:rPr>
              <w:t>슬라이드 제목</w:t>
            </w:r>
          </w:p>
        </w:tc>
        <w:tc>
          <w:tcPr>
            <w:tcW w:type="dxa" w:w="3120"/>
          </w:tcPr>
          <w:p>
            <w:r>
              <w:rPr>
                <w:b/>
              </w:rPr>
              <w:t>v3 기준</w:t>
            </w:r>
          </w:p>
        </w:tc>
      </w:tr>
      <w:tr>
        <w:tc>
          <w:tcPr>
            <w:tcW w:type="dxa" w:w="3120"/>
          </w:tcPr>
          <w:p>
            <w:r>
              <w:t>1</w:t>
            </w:r>
          </w:p>
        </w:tc>
        <w:tc>
          <w:tcPr>
            <w:tcW w:type="dxa" w:w="3120"/>
          </w:tcPr>
          <w:p>
            <w:r>
              <w:t>표지</w:t>
            </w:r>
          </w:p>
        </w:tc>
        <w:tc>
          <w:tcPr>
            <w:tcW w:type="dxa" w:w="3120"/>
          </w:tcPr>
          <w:p>
            <w:r>
              <w:t>1</w:t>
            </w:r>
          </w:p>
        </w:tc>
      </w:tr>
      <w:tr>
        <w:tc>
          <w:tcPr>
            <w:tcW w:type="dxa" w:w="3120"/>
          </w:tcPr>
          <w:p>
            <w:r>
              <w:t>2</w:t>
            </w:r>
          </w:p>
        </w:tc>
        <w:tc>
          <w:tcPr>
            <w:tcW w:type="dxa" w:w="3120"/>
          </w:tcPr>
          <w:p>
            <w:r>
              <w:t>목차</w:t>
            </w:r>
          </w:p>
        </w:tc>
        <w:tc>
          <w:tcPr>
            <w:tcW w:type="dxa" w:w="3120"/>
          </w:tcPr>
          <w:p>
            <w:r>
              <w:t>2</w:t>
            </w:r>
          </w:p>
        </w:tc>
      </w:tr>
      <w:tr>
        <w:tc>
          <w:tcPr>
            <w:tcW w:type="dxa" w:w="3120"/>
          </w:tcPr>
          <w:p>
            <w:r>
              <w:t>3</w:t>
            </w:r>
          </w:p>
        </w:tc>
        <w:tc>
          <w:tcPr>
            <w:tcW w:type="dxa" w:w="3120"/>
          </w:tcPr>
          <w:p>
            <w:r>
              <w:t>연구 배경·목적 + 데이터셋</w:t>
            </w:r>
          </w:p>
        </w:tc>
        <w:tc>
          <w:tcPr>
            <w:tcW w:type="dxa" w:w="3120"/>
          </w:tcPr>
          <w:p>
            <w:r>
              <w:t>기존 3</w:t>
            </w:r>
          </w:p>
        </w:tc>
      </w:tr>
      <w:tr>
        <w:tc>
          <w:tcPr>
            <w:tcW w:type="dxa" w:w="3120"/>
          </w:tcPr>
          <w:p>
            <w:r>
              <w:t>4</w:t>
            </w:r>
          </w:p>
        </w:tc>
        <w:tc>
          <w:tcPr>
            <w:tcW w:type="dxa" w:w="3120"/>
          </w:tcPr>
          <w:p>
            <w:r>
              <w:t>★ Data Samples — 베어링 진동 시계열</w:t>
            </w:r>
          </w:p>
        </w:tc>
        <w:tc>
          <w:tcPr>
            <w:tcW w:type="dxa" w:w="3120"/>
          </w:tcPr>
          <w:p>
            <w:r>
              <w:t>신규</w:t>
            </w:r>
          </w:p>
        </w:tc>
      </w:tr>
      <w:tr>
        <w:tc>
          <w:tcPr>
            <w:tcW w:type="dxa" w:w="3120"/>
          </w:tcPr>
          <w:p>
            <w:r>
              <w:t>5</w:t>
            </w:r>
          </w:p>
        </w:tc>
        <w:tc>
          <w:tcPr>
            <w:tcW w:type="dxa" w:w="3120"/>
          </w:tcPr>
          <w:p>
            <w:r>
              <w:t>★ Q1. 데이터 유형 비교 (시계열 vs 이미지)</w:t>
            </w:r>
          </w:p>
        </w:tc>
        <w:tc>
          <w:tcPr>
            <w:tcW w:type="dxa" w:w="3120"/>
          </w:tcPr>
          <w:p>
            <w:r>
              <w:t>신규</w:t>
            </w:r>
          </w:p>
        </w:tc>
      </w:tr>
      <w:tr>
        <w:tc>
          <w:tcPr>
            <w:tcW w:type="dxa" w:w="3120"/>
          </w:tcPr>
          <w:p>
            <w:r>
              <w:t>6</w:t>
            </w:r>
          </w:p>
        </w:tc>
        <w:tc>
          <w:tcPr>
            <w:tcW w:type="dxa" w:w="3120"/>
          </w:tcPr>
          <w:p>
            <w:r>
              <w:t>피처·VIF + ML 열화 분류</w:t>
            </w:r>
          </w:p>
        </w:tc>
        <w:tc>
          <w:tcPr>
            <w:tcW w:type="dxa" w:w="3120"/>
          </w:tcPr>
          <w:p>
            <w:r>
              <w:t>기존 4</w:t>
            </w:r>
          </w:p>
        </w:tc>
      </w:tr>
      <w:tr>
        <w:tc>
          <w:tcPr>
            <w:tcW w:type="dxa" w:w="3120"/>
          </w:tcPr>
          <w:p>
            <w:r>
              <w:t>7</w:t>
            </w:r>
          </w:p>
        </w:tc>
        <w:tc>
          <w:tcPr>
            <w:tcW w:type="dxa" w:w="3120"/>
          </w:tcPr>
          <w:p>
            <w:r>
              <w:t>★ ML 분류 혼동행렬 + SHAP</w:t>
            </w:r>
          </w:p>
        </w:tc>
        <w:tc>
          <w:tcPr>
            <w:tcW w:type="dxa" w:w="3120"/>
          </w:tcPr>
          <w:p>
            <w:r>
              <w:t>신규</w:t>
            </w:r>
          </w:p>
        </w:tc>
      </w:tr>
      <w:tr>
        <w:tc>
          <w:tcPr>
            <w:tcW w:type="dxa" w:w="3120"/>
          </w:tcPr>
          <w:p>
            <w:r>
              <w:t>8</w:t>
            </w:r>
          </w:p>
        </w:tc>
        <w:tc>
          <w:tcPr>
            <w:tcW w:type="dxa" w:w="3120"/>
          </w:tcPr>
          <w:p>
            <w:r>
              <w:t>Recall 중심 성능 평가</w:t>
            </w:r>
          </w:p>
        </w:tc>
        <w:tc>
          <w:tcPr>
            <w:tcW w:type="dxa" w:w="3120"/>
          </w:tcPr>
          <w:p>
            <w:r>
              <w:t>기존 9</w:t>
            </w:r>
          </w:p>
        </w:tc>
      </w:tr>
      <w:tr>
        <w:tc>
          <w:tcPr>
            <w:tcW w:type="dxa" w:w="3120"/>
          </w:tcPr>
          <w:p>
            <w:r>
              <w:t>9</w:t>
            </w:r>
          </w:p>
        </w:tc>
        <w:tc>
          <w:tcPr>
            <w:tcW w:type="dxa" w:w="3120"/>
          </w:tcPr>
          <w:p>
            <w:r>
              <w:t>★ 지도·비지도 병행 사유</w:t>
            </w:r>
          </w:p>
        </w:tc>
        <w:tc>
          <w:tcPr>
            <w:tcW w:type="dxa" w:w="3120"/>
          </w:tcPr>
          <w:p>
            <w:r>
              <w:t>신규</w:t>
            </w:r>
          </w:p>
        </w:tc>
      </w:tr>
      <w:tr>
        <w:tc>
          <w:tcPr>
            <w:tcW w:type="dxa" w:w="3120"/>
          </w:tcPr>
          <w:p>
            <w:r>
              <w:t>10</w:t>
            </w:r>
          </w:p>
        </w:tc>
        <w:tc>
          <w:tcPr>
            <w:tcW w:type="dxa" w:w="3120"/>
          </w:tcPr>
          <w:p>
            <w:r>
              <w:t>Autoencoder 비지도 탐지 + 임계값</w:t>
            </w:r>
          </w:p>
        </w:tc>
        <w:tc>
          <w:tcPr>
            <w:tcW w:type="dxa" w:w="3120"/>
          </w:tcPr>
          <w:p>
            <w:r>
              <w:t>기존 10</w:t>
            </w:r>
          </w:p>
        </w:tc>
      </w:tr>
      <w:tr>
        <w:tc>
          <w:tcPr>
            <w:tcW w:type="dxa" w:w="3120"/>
          </w:tcPr>
          <w:p>
            <w:r>
              <w:t>11</w:t>
            </w:r>
          </w:p>
        </w:tc>
        <w:tc>
          <w:tcPr>
            <w:tcW w:type="dxa" w:w="3120"/>
          </w:tcPr>
          <w:p>
            <w:r>
              <w:t>★ 모델 선택 근거 (GRU 채택)</w:t>
            </w:r>
          </w:p>
        </w:tc>
        <w:tc>
          <w:tcPr>
            <w:tcW w:type="dxa" w:w="3120"/>
          </w:tcPr>
          <w:p>
            <w:r>
              <w:t>신규</w:t>
            </w:r>
          </w:p>
        </w:tc>
      </w:tr>
      <w:tr>
        <w:tc>
          <w:tcPr>
            <w:tcW w:type="dxa" w:w="3120"/>
          </w:tcPr>
          <w:p>
            <w:r>
              <w:t>12</w:t>
            </w:r>
          </w:p>
        </w:tc>
        <w:tc>
          <w:tcPr>
            <w:tcW w:type="dxa" w:w="3120"/>
          </w:tcPr>
          <w:p>
            <w:r>
              <w:t>DL RUL 개발·튜닝 순서 (6단계)</w:t>
            </w:r>
          </w:p>
        </w:tc>
        <w:tc>
          <w:tcPr>
            <w:tcW w:type="dxa" w:w="3120"/>
          </w:tcPr>
          <w:p>
            <w:r>
              <w:t>기존 5</w:t>
            </w:r>
          </w:p>
        </w:tc>
      </w:tr>
      <w:tr>
        <w:tc>
          <w:tcPr>
            <w:tcW w:type="dxa" w:w="3120"/>
          </w:tcPr>
          <w:p>
            <w:r>
              <w:t>13</w:t>
            </w:r>
          </w:p>
        </w:tc>
        <w:tc>
          <w:tcPr>
            <w:tcW w:type="dxa" w:w="3120"/>
          </w:tcPr>
          <w:p>
            <w:r>
              <w:t>튜닝 상세 — 아키텍처 5종</w:t>
            </w:r>
          </w:p>
        </w:tc>
        <w:tc>
          <w:tcPr>
            <w:tcW w:type="dxa" w:w="3120"/>
          </w:tcPr>
          <w:p>
            <w:r>
              <w:t>기존 6</w:t>
            </w:r>
          </w:p>
        </w:tc>
      </w:tr>
      <w:tr>
        <w:tc>
          <w:tcPr>
            <w:tcW w:type="dxa" w:w="3120"/>
          </w:tcPr>
          <w:p>
            <w:r>
              <w:t>14</w:t>
            </w:r>
          </w:p>
        </w:tc>
        <w:tc>
          <w:tcPr>
            <w:tcW w:type="dxa" w:w="3120"/>
          </w:tcPr>
          <w:p>
            <w:r>
              <w:t>부록. MLflow (48 runs)</w:t>
            </w:r>
          </w:p>
        </w:tc>
        <w:tc>
          <w:tcPr>
            <w:tcW w:type="dxa" w:w="3120"/>
          </w:tcPr>
          <w:p>
            <w:r>
              <w:t>기존 7</w:t>
            </w:r>
          </w:p>
        </w:tc>
      </w:tr>
      <w:tr>
        <w:tc>
          <w:tcPr>
            <w:tcW w:type="dxa" w:w="3120"/>
          </w:tcPr>
          <w:p>
            <w:r>
              <w:t>15</w:t>
            </w:r>
          </w:p>
        </w:tc>
        <w:tc>
          <w:tcPr>
            <w:tcW w:type="dxa" w:w="3120"/>
          </w:tcPr>
          <w:p>
            <w:r>
              <w:t>핵심 결론 — ML vs DL</w:t>
            </w:r>
          </w:p>
        </w:tc>
        <w:tc>
          <w:tcPr>
            <w:tcW w:type="dxa" w:w="3120"/>
          </w:tcPr>
          <w:p>
            <w:r>
              <w:t>기존 8</w:t>
            </w:r>
          </w:p>
        </w:tc>
      </w:tr>
      <w:tr>
        <w:tc>
          <w:tcPr>
            <w:tcW w:type="dxa" w:w="3120"/>
          </w:tcPr>
          <w:p>
            <w:r>
              <w:t>16</w:t>
            </w:r>
          </w:p>
        </w:tc>
        <w:tc>
          <w:tcPr>
            <w:tcW w:type="dxa" w:w="3120"/>
          </w:tcPr>
          <w:p>
            <w:r>
              <w:t>★ ML+DL+Grad-CAM 통합 파이프라인</w:t>
            </w:r>
          </w:p>
        </w:tc>
        <w:tc>
          <w:tcPr>
            <w:tcW w:type="dxa" w:w="3120"/>
          </w:tcPr>
          <w:p>
            <w:r>
              <w:t>신규</w:t>
            </w:r>
          </w:p>
        </w:tc>
      </w:tr>
      <w:tr>
        <w:tc>
          <w:tcPr>
            <w:tcW w:type="dxa" w:w="3120"/>
          </w:tcPr>
          <w:p>
            <w:r>
              <w:t>17</w:t>
            </w:r>
          </w:p>
        </w:tc>
        <w:tc>
          <w:tcPr>
            <w:tcW w:type="dxa" w:w="3120"/>
          </w:tcPr>
          <w:p>
            <w:r>
              <w:t>Streamlit 통합 진단 + 로드맵</w:t>
            </w:r>
          </w:p>
        </w:tc>
        <w:tc>
          <w:tcPr>
            <w:tcW w:type="dxa" w:w="3120"/>
          </w:tcPr>
          <w:p>
            <w:r>
              <w:t>기존 11</w:t>
            </w:r>
          </w:p>
        </w:tc>
      </w:tr>
      <w:tr>
        <w:tc>
          <w:tcPr>
            <w:tcW w:type="dxa" w:w="3120"/>
          </w:tcPr>
          <w:p>
            <w:r>
              <w:t>18</w:t>
            </w:r>
          </w:p>
        </w:tc>
        <w:tc>
          <w:tcPr>
            <w:tcW w:type="dxa" w:w="3120"/>
          </w:tcPr>
          <w:p>
            <w:r>
              <w:t>핵심 요약</w:t>
            </w:r>
          </w:p>
        </w:tc>
        <w:tc>
          <w:tcPr>
            <w:tcW w:type="dxa" w:w="3120"/>
          </w:tcPr>
          <w:p>
            <w:r>
              <w:t>기존 12</w:t>
            </w:r>
          </w:p>
        </w:tc>
      </w:tr>
      <w:tr>
        <w:tc>
          <w:tcPr>
            <w:tcW w:type="dxa" w:w="3120"/>
          </w:tcPr>
          <w:p>
            <w:r>
              <w:t>19</w:t>
            </w:r>
          </w:p>
        </w:tc>
        <w:tc>
          <w:tcPr>
            <w:tcW w:type="dxa" w:w="3120"/>
          </w:tcPr>
          <w:p>
            <w:r>
              <w:t>★ 결론 / Phase 1~3 + 실무 포지셔닝</w:t>
            </w:r>
          </w:p>
        </w:tc>
        <w:tc>
          <w:tcPr>
            <w:tcW w:type="dxa" w:w="3120"/>
          </w:tcPr>
          <w:p>
            <w:r>
              <w:t>신규</w:t>
            </w:r>
          </w:p>
        </w:tc>
      </w:tr>
    </w:tbl>
    <w:p>
      <w:r>
        <w:t>슬라이드 4 · Data Samples — 베어링 진동 시계열 [신규]</w:t>
      </w:r>
    </w:p>
    <w:p>
      <w:r>
        <w:rPr>
          <w:b/>
          <w:sz w:val="28"/>
        </w:rPr>
        <w:t>슬라이드 4 · Data Samples — 베어링 진동 시계열 [신규]</w:t>
      </w:r>
    </w:p>
    <w:p>
      <w:r>
        <w:t>화면에 두 파형을 나란히 보여드리겠습니다. 왼쪽은 Stage 1 정상, 진폭 ±0.4g로 안정적입니다. 오른쪽은 Stage 4 심각 열화, 진폭 ±7.5g로 18배 이상 커지고 불규칙 스파이크가 나타납니다. FEMTO-ST는 1분마다 수평·수직 가속도와 온도를 측정하는 run-to-failure 실측 데이터입니다. ▶ 이 신호에서 추출한 12개 피처를 분석합니다.</w:t>
      </w:r>
    </w:p>
    <w:p>
      <w:r>
        <w:t>슬라이드 5 · Q1. 데이터 유형 비교 [신규]</w:t>
      </w:r>
    </w:p>
    <w:p>
      <w:r>
        <w:rPr>
          <w:b/>
          <w:sz w:val="28"/>
        </w:rPr>
        <w:t>슬라이드 5 · Q1. 데이터 유형 비교 [신규]</w:t>
      </w:r>
    </w:p>
    <w:p>
      <w:r>
        <w:t>'왜 RUL은 시계열 모델, CNN은 별도 탭인가?'라는 질문을 자주 받습니다. 시계열(GRU/LSTM)은 분 단위 순차 패턴 — 언제 열화가 시작됐는지를 학습합니다. CNN은 진동 파형을 이미지로 변환해 현재 순간의 형태를 분류합니다. 두 접근은 보완 관계입니다. ▶ 피처 분석으로 넘어갑니다.</w:t>
      </w:r>
    </w:p>
    <w:p>
      <w:r>
        <w:t>슬라이드 7 · ML 분류 혼동행렬 + SHAP [신규]</w:t>
      </w:r>
    </w:p>
    <w:p>
      <w:r>
        <w:rPr>
          <w:b/>
          <w:sz w:val="28"/>
        </w:rPr>
        <w:t>슬라이드 7 · ML 분류 혼동행렬 + SHAP [신규]</w:t>
      </w:r>
    </w:p>
    <w:p>
      <w:r>
        <w:t>혼동행렬을 보겠습니다. LR이 OOS TP 29/33건으로 Recall 0.890을 기록했습니다. RF·XGB는 학습 데이터 과적합으로 미관측 베어링에서 0.505·0.513으로 급락합니다. SHAP Beeswarm에서 h_rms가 열화 예측에 가장 강하게 기여하며, v_rms·h_kurt 순입니다. ▶ 왜 Recall을 핵심 지표로 삼았는지 이어서 설명합니다.</w:t>
      </w:r>
    </w:p>
    <w:p>
      <w:r>
        <w:t>슬라이드 9 · 지도·비지도 병행 사유 [신규]</w:t>
      </w:r>
    </w:p>
    <w:p>
      <w:r>
        <w:rPr>
          <w:b/>
          <w:sz w:val="28"/>
        </w:rPr>
        <w:t>슬라이드 9 · 지도·비지도 병행 사유 [신규]</w:t>
      </w:r>
    </w:p>
    <w:p>
      <w:r>
        <w:t>지도학습(LR/RF)은 열화 레이블이 있는 데이터에 최적화됩니다. 반면 신규 설비는 레이블이 없는 경우가 많습니다. Autoencoder는 정상 데이터만 학습해 재구성 오차가 큰 순간을 이상으로 탐지합니다. AE(1차 조기감지) → RF(2차 정밀분류) 파이프라인으로 레이블 유무에 무관하게 적용 가능합니다. ▶ 비지도 탐지 상세 결과입니다.</w:t>
      </w:r>
    </w:p>
    <w:p>
      <w:r>
        <w:t>슬라이드 11 · 모델 선택 근거 — GRU 채택 [신규]</w:t>
      </w:r>
    </w:p>
    <w:p>
      <w:r>
        <w:rPr>
          <w:b/>
          <w:sz w:val="28"/>
        </w:rPr>
        <w:t>슬라이드 11 · 모델 선택 근거 — GRU 채택 [신규]</w:t>
      </w:r>
    </w:p>
    <w:p>
      <w:r>
        <w:t>GRU 선택 근거는 세 가지입니다. 첫째, 아키텍처 5종 비교 시 OOS RMSE 909.96으로 최저. 둘째, LSTM 대비 파라미터 적어 소규모 데이터 과적합 위험 낮음. 셋째, 예지보전은 과거→현재 인과 방향이라 BiLSTM 양방향 이점 없음. BN+LN으로 epoch 54→33 단축, OOS RMSE 16.75% 추가 개선. ▶ 개발 단계별 튜닝 과정입니다.</w:t>
      </w:r>
    </w:p>
    <w:p>
      <w:r>
        <w:t>슬라이드 16 · ML+DL+Grad-CAM 통합 파이프라인 [신규]</w:t>
      </w:r>
    </w:p>
    <w:p>
      <w:r>
        <w:rPr>
          <w:b/>
          <w:sz w:val="28"/>
        </w:rPr>
        <w:t>슬라이드 16 · ML+DL+Grad-CAM 통합 파이프라인 [신규]</w:t>
      </w:r>
    </w:p>
    <w:p>
      <w:r>
        <w:t>입력 신호 → ML 분류기(LR)가 열화 여부 판정 → DL(GRU v2)이 잔여수명 예측. 동시에 CSV 일괄 진단에서 Grad-CAM이 CNN 판정 근거를 시각화합니다. Grad-CAM 3단 출력: 원본 파형, 열 중요도 히트맵, 오버레이. 빨간 구간이 CNN이 '열화 패턴'으로 본 곳입니다. XAI(설명 가능 AI) 기능입니다. ▶ 이 모든 기능을 통합한 Streamlit 대시보드입니다.</w:t>
      </w:r>
    </w:p>
    <w:p>
      <w:r>
        <w:t>슬라이드 19 · 결론 / Phase 1~3 + 실무 포지셔닝 [신규]</w:t>
      </w:r>
    </w:p>
    <w:p>
      <w:r>
        <w:rPr>
          <w:b/>
          <w:sz w:val="28"/>
        </w:rPr>
        <w:t>슬라이드 19 · 결론 / Phase 1~3 + 실무 포지셔닝 [신규]</w:t>
      </w:r>
    </w:p>
    <w:p>
      <w:r>
        <w:t>분류(LR Recall 0.89)와 임계값 경보를 묶은 조기경보 파이프라인이 실무 배포의 핵심입니다. RUL 회귀는 남은 시간 추세를 보여주는 보조 지표이고, 경보 의사결정은 분류기 담당입니다. 실공장 배포 요건: 실제 설비 데이터(FEMTO는 시험대), 多 베어링/운전조건 검증, 예측 불확실성(신뢰구간), 810분 오차가 정비 리드타임으로 충분한지 현장 검토. 포트폴리오 수준으로는 방법론이 탄탄합니다. 실라인 배포 포지셔닝: '정밀 RUL 추정기'가 아닌 '조기경보 파이프라인의 한 구성요소'. 감사합니다.</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olor w:val="6B6B6B"/>
        <w:sz w:val="16"/>
        <w:szCs w:val="16"/>
      </w:rPr>
      <w:t xml:space="preserve">FEMTO-ST RUL 발표 대본 · 허남 · 2026.06</w:t>
    </w:r>
    <w:r>
      <w:rPr>
        <w:rFonts w:ascii="맑은 고딕" w:eastAsia="맑은 고딕" w:hAnsi="맑은 고딕"/>
      </w:rPr>
      <w:t xml:space="preserve">    </w:t>
    </w:r>
    <w:r>
      <w:rPr>
        <w:rFonts w:ascii="맑은 고딕" w:eastAsia="맑은 고딕" w:hAnsi="맑은 고딕"/>
        <w:color w:val="6B6B6B"/>
        <w:sz w:val="16"/>
        <w:szCs w:val="16"/>
      </w:rPr>
      <w:t xml:space="preserve">p.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맑은 고딕" w:eastAsia="맑은 고딕" w:hAnsi="맑은 고딕"/>
      <w:b/>
      <w:bCs/>
      <w:color w:val="1E2761"/>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2026-06-30T03:13:28.883Z</dcterms:created>
  <dcterms:modified xsi:type="dcterms:W3CDTF">2026-06-30T03:13:28.883Z</dcterms:modified>
</cp:coreProperties>
</file>

<file path=docProps/custom.xml><?xml version="1.0" encoding="utf-8"?>
<Properties xmlns="http://schemas.openxmlformats.org/officeDocument/2006/custom-properties" xmlns:vt="http://schemas.openxmlformats.org/officeDocument/2006/docPropsVTypes"/>
</file>