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A5713" w:rsidRDefault="00000000">
      <w:pPr>
        <w:pStyle w:val="Heading3"/>
        <w:spacing w:before="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PowerPoint Presentation Script: BSCS Level 3 Accreditation - Area IV: Linkages</w:t>
      </w:r>
    </w:p>
    <w:p w14:paraId="00000002" w14:textId="77777777" w:rsidR="007A5713" w:rsidRDefault="007A5713">
      <w:pPr>
        <w:pBdr>
          <w:top w:val="nil"/>
          <w:left w:val="nil"/>
          <w:bottom w:val="nil"/>
          <w:right w:val="nil"/>
          <w:between w:val="nil"/>
        </w:pBdr>
        <w:spacing w:after="240" w:line="275" w:lineRule="auto"/>
        <w:rPr>
          <w:rFonts w:ascii="Google Sans Text" w:eastAsia="Google Sans Text" w:hAnsi="Google Sans Text" w:cs="Google Sans Text"/>
          <w:b/>
          <w:color w:val="1B1C1D"/>
          <w:sz w:val="28"/>
          <w:szCs w:val="28"/>
        </w:rPr>
      </w:pPr>
    </w:p>
    <w:p w14:paraId="00000003" w14:textId="14DB0FE7" w:rsidR="007A5713"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(Total Time: 10 minutes)</w:t>
      </w:r>
      <w:r w:rsidR="00E25F1D">
        <w:rPr>
          <w:rFonts w:ascii="Google Sans Text" w:eastAsia="Google Sans Text" w:hAnsi="Google Sans Text" w:cs="Google Sans Text"/>
          <w:b/>
          <w:color w:val="1B1C1D"/>
        </w:rPr>
        <w:br/>
      </w:r>
      <w:r w:rsidR="00E25F1D">
        <w:rPr>
          <w:rFonts w:ascii="Google Sans Text" w:eastAsia="Google Sans Text" w:hAnsi="Google Sans Text" w:cs="Google Sans Text"/>
          <w:b/>
          <w:color w:val="1B1C1D"/>
        </w:rPr>
        <w:br/>
        <w:t>Section 1: Well-Defined Objectives</w:t>
      </w:r>
    </w:p>
    <w:p w14:paraId="03254EDE"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Good day to everyone present.</w:t>
      </w:r>
    </w:p>
    <w:p w14:paraId="494F5461"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This presentation highlights Area IV: Linkages for the Bachelor of Science in Computer Science (BSCS) program at Cavite State University – Naic, in line with our upcoming Level 3 Accreditation – 3rd Survey, Phase 2 Evaluation.</w:t>
      </w:r>
    </w:p>
    <w:p w14:paraId="0364F881"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Let’s begin by addressing a central truth:</w:t>
      </w:r>
      <w:r w:rsidRPr="00940CB6">
        <w:rPr>
          <w:rFonts w:ascii="Google Sans Text" w:eastAsia="Google Sans Text" w:hAnsi="Google Sans Text" w:cs="Google Sans Text"/>
          <w:bCs/>
          <w:color w:val="1B1C1D"/>
        </w:rPr>
        <w:br/>
        <w:t>Academic excellence today cannot exist in isolation.</w:t>
      </w:r>
      <w:r w:rsidRPr="00940CB6">
        <w:rPr>
          <w:rFonts w:ascii="Google Sans Text" w:eastAsia="Google Sans Text" w:hAnsi="Google Sans Text" w:cs="Google Sans Text"/>
          <w:bCs/>
          <w:color w:val="1B1C1D"/>
        </w:rPr>
        <w:br/>
        <w:t>The world moves too fast, industries evolve too quickly, and technologies emerge too rapidly. That’s why linkages—real, strategic, working partnerships—are essential.</w:t>
      </w:r>
    </w:p>
    <w:p w14:paraId="539E24D5"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7BB64C5B">
          <v:rect id="_x0000_i1097" style="width:0;height:1.5pt" o:hralign="center" o:hrstd="t" o:hr="t" fillcolor="#a0a0a0" stroked="f"/>
        </w:pict>
      </w:r>
    </w:p>
    <w:p w14:paraId="74F7F384"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At CvSU-Naic, our BSCS program has built a comprehensive, multi-sectoral network of partners. These include tech companies, government bodies, academic institutions, and non-government organizations. But these aren’t just formalities—they are active collaborations that directly shape our curriculum, empower our faculty, and give our students the competitive edge they need.</w:t>
      </w:r>
    </w:p>
    <w:p w14:paraId="6745FD9F"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1B9C2FFA">
          <v:rect id="_x0000_i1098" style="width:0;height:1.5pt" o:hralign="center" o:hrstd="t" o:hr="t" fillcolor="#a0a0a0" stroked="f"/>
        </w:pict>
      </w:r>
    </w:p>
    <w:p w14:paraId="031FA18B"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We’ve structured our linkage efforts around five core objectives:</w:t>
      </w:r>
    </w:p>
    <w:p w14:paraId="6F8510BC"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First, to align our curriculum with current and future industry demands.</w:t>
      </w:r>
      <w:r w:rsidRPr="00940CB6">
        <w:rPr>
          <w:rFonts w:ascii="Google Sans Text" w:eastAsia="Google Sans Text" w:hAnsi="Google Sans Text" w:cs="Google Sans Text"/>
          <w:bCs/>
          <w:color w:val="1B1C1D"/>
        </w:rPr>
        <w:br/>
        <w:t>This is guided by CHED Memorandum Order No. 25, s. 2015, which shifted Philippine IT education to an outcomes-based framework. In response, we revised key courses—including DCIT 55, now powered by Oracle Academy’s Database Programming with SQL content. This isn’t theory—it’s industry-certified training, built into our syllabus.</w:t>
      </w:r>
    </w:p>
    <w:p w14:paraId="5EDFE1D3"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51E95978">
          <v:rect id="_x0000_i1099" style="width:0;height:1.5pt" o:hralign="center" o:hrstd="t" o:hr="t" fillcolor="#a0a0a0" stroked="f"/>
        </w:pict>
      </w:r>
    </w:p>
    <w:p w14:paraId="4DE75137"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Second, we deliver real-world internship and OJT experiences for every student.</w:t>
      </w:r>
      <w:r w:rsidRPr="00940CB6">
        <w:rPr>
          <w:rFonts w:ascii="Google Sans Text" w:eastAsia="Google Sans Text" w:hAnsi="Google Sans Text" w:cs="Google Sans Text"/>
          <w:bCs/>
          <w:color w:val="1B1C1D"/>
        </w:rPr>
        <w:br/>
        <w:t>Each BSCS student completes 240 hours of structured industry immersion. We formalize these through MOAs with companies, LGUs, and internal university offices. To support this, we hold OJT Partnership Fairs, conduct pre-internship workshops, and monitor each placement closely—ensuring both compliance and quality.</w:t>
      </w:r>
    </w:p>
    <w:p w14:paraId="3E238498"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001A2DA9">
          <v:rect id="_x0000_i1100" style="width:0;height:1.5pt" o:hralign="center" o:hrstd="t" o:hr="t" fillcolor="#a0a0a0" stroked="f"/>
        </w:pict>
      </w:r>
    </w:p>
    <w:p w14:paraId="73A29E59"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Third, we invest heavily in faculty development.</w:t>
      </w:r>
      <w:r w:rsidRPr="00940CB6">
        <w:rPr>
          <w:rFonts w:ascii="Google Sans Text" w:eastAsia="Google Sans Text" w:hAnsi="Google Sans Text" w:cs="Google Sans Text"/>
          <w:bCs/>
          <w:color w:val="1B1C1D"/>
        </w:rPr>
        <w:br/>
        <w:t xml:space="preserve">Our professors don’t just teach—they train, certify, and immerse themselves in evolving tech domains. Faculty are members of professional bodies like the Philippine Institute of Cyber Security Professionals and Asia-Pacific Consortium of Researchers and Educators. They’ve </w:t>
      </w:r>
      <w:r w:rsidRPr="00940CB6">
        <w:rPr>
          <w:rFonts w:ascii="Google Sans Text" w:eastAsia="Google Sans Text" w:hAnsi="Google Sans Text" w:cs="Google Sans Text"/>
          <w:bCs/>
          <w:color w:val="1B1C1D"/>
        </w:rPr>
        <w:lastRenderedPageBreak/>
        <w:t>earned certifications in R, Power BI, data science, and more. This ensures that what we teach reflects what the industry needs—today, not five years ago.</w:t>
      </w:r>
    </w:p>
    <w:p w14:paraId="40A1A216"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07565070">
          <v:rect id="_x0000_i1101" style="width:0;height:1.5pt" o:hralign="center" o:hrstd="t" o:hr="t" fillcolor="#a0a0a0" stroked="f"/>
        </w:pict>
      </w:r>
    </w:p>
    <w:p w14:paraId="13D3F33F"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Fourth, we actively pursue collaborative research and innovation.</w:t>
      </w:r>
      <w:r w:rsidRPr="00940CB6">
        <w:rPr>
          <w:rFonts w:ascii="Google Sans Text" w:eastAsia="Google Sans Text" w:hAnsi="Google Sans Text" w:cs="Google Sans Text"/>
          <w:bCs/>
          <w:color w:val="1B1C1D"/>
        </w:rPr>
        <w:br/>
        <w:t>Our faculty and students engage in joint initiatives with partner institutions—projects that focus on practical solutions to local problems, not just academic output. From disaster tech apps to digital literacy tools, these research projects are meaningful, measurable, and mission-driven.</w:t>
      </w:r>
    </w:p>
    <w:p w14:paraId="452775C7"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pict w14:anchorId="15589A54">
          <v:rect id="_x0000_i1102" style="width:0;height:1.5pt" o:hralign="center" o:hrstd="t" o:hr="t" fillcolor="#a0a0a0" stroked="f"/>
        </w:pict>
      </w:r>
    </w:p>
    <w:p w14:paraId="15DE2E7C" w14:textId="77777777" w:rsidR="00940CB6" w:rsidRPr="00940CB6" w:rsidRDefault="00940CB6" w:rsidP="00940CB6">
      <w:pPr>
        <w:pBdr>
          <w:top w:val="nil"/>
          <w:left w:val="nil"/>
          <w:bottom w:val="nil"/>
          <w:right w:val="nil"/>
          <w:between w:val="nil"/>
        </w:pBdr>
        <w:spacing w:line="276" w:lineRule="auto"/>
        <w:rPr>
          <w:rFonts w:ascii="Google Sans Text" w:eastAsia="Google Sans Text" w:hAnsi="Google Sans Text" w:cs="Google Sans Text"/>
          <w:bCs/>
          <w:color w:val="1B1C1D"/>
        </w:rPr>
      </w:pPr>
      <w:r w:rsidRPr="00940CB6">
        <w:rPr>
          <w:rFonts w:ascii="Google Sans Text" w:eastAsia="Google Sans Text" w:hAnsi="Google Sans Text" w:cs="Google Sans Text"/>
          <w:bCs/>
          <w:color w:val="1B1C1D"/>
        </w:rPr>
        <w:t>Fifth, we focus on both employability and community impact.</w:t>
      </w:r>
      <w:r w:rsidRPr="00940CB6">
        <w:rPr>
          <w:rFonts w:ascii="Google Sans Text" w:eastAsia="Google Sans Text" w:hAnsi="Google Sans Text" w:cs="Google Sans Text"/>
          <w:bCs/>
          <w:color w:val="1B1C1D"/>
        </w:rPr>
        <w:br/>
        <w:t>We host annual job fairs, facilitate industry mentoring, and build direct pipelines to tech employers.</w:t>
      </w:r>
      <w:r w:rsidRPr="00940CB6">
        <w:rPr>
          <w:rFonts w:ascii="Google Sans Text" w:eastAsia="Google Sans Text" w:hAnsi="Google Sans Text" w:cs="Google Sans Text"/>
          <w:bCs/>
          <w:color w:val="1B1C1D"/>
        </w:rPr>
        <w:br/>
        <w:t>But beyond employment, we aim for social responsibility. Our ICT-based extension programs—like TECHBRIDGE, SIKTeK, and Project Zero—bring digital skills and tools directly to underserved communities. Whether it’s disaster risk reduction apps or zero-waste education, our students and faculty apply computing knowledge to real human needs.</w:t>
      </w:r>
    </w:p>
    <w:p w14:paraId="276A624E"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3069113B"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693C43C9"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79CB29C4"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7712CABB"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224A14C5"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48BA2A4B"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69BA77E4"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70680300"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238FB028"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0BC7ED14"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713DE990"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0D99F6AB"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0A581277"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10B431DC"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76F63023"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1DDA4977"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111B97DD"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3DE5676B"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0BDCC1FE" w14:textId="77777777" w:rsid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p w14:paraId="6D3ECEA5"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1: Well-Defined Objectives (Revised)</w:t>
      </w:r>
    </w:p>
    <w:p w14:paraId="1D8A73D3"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Good day to everyone present. This presentation highlights Area IV: Linkages for the Bachelor of Science in Computer Science (BSCS) program at Cavite State University – Naic, in line with our upcoming Level 3 Accreditation – 3rd Survey, Phase 2 Evaluation.</w:t>
      </w:r>
    </w:p>
    <w:p w14:paraId="638A1E12"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 xml:space="preserve">Let’s begin by addressing a central truth: Academic excellence today cannot exist in isolation. </w:t>
      </w:r>
      <w:r w:rsidRPr="00B51137">
        <w:rPr>
          <w:rFonts w:ascii="Google Sans Text" w:eastAsia="Google Sans Text" w:hAnsi="Google Sans Text" w:cs="Google Sans Text"/>
          <w:color w:val="1B1C1D"/>
        </w:rPr>
        <w:lastRenderedPageBreak/>
        <w:t>The world moves too fast, industries evolve too quickly, and technologies emerge too rapidly. That’s why linkages—real, strategic, working partnerships—are essential.</w:t>
      </w:r>
    </w:p>
    <w:p w14:paraId="44B09020"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At CvSU-Naic, our BSCS program has built a comprehensive, multi-sectoral network of partners. These include tech companies, government bodies, academic institutions, and non-government organizations. But these aren’t just formalities—they are active collaborations that directly shape our curriculum, empower our faculty, and give our students the competitive edge they need.</w:t>
      </w:r>
    </w:p>
    <w:p w14:paraId="4495F191"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 xml:space="preserve">We’ve structured our linkage efforts around </w:t>
      </w:r>
      <w:r w:rsidRPr="00B51137">
        <w:rPr>
          <w:rFonts w:ascii="Google Sans Text" w:eastAsia="Google Sans Text" w:hAnsi="Google Sans Text" w:cs="Google Sans Text"/>
          <w:b/>
          <w:bCs/>
          <w:color w:val="1B1C1D"/>
        </w:rPr>
        <w:t>six</w:t>
      </w:r>
      <w:r w:rsidRPr="00B51137">
        <w:rPr>
          <w:rFonts w:ascii="Google Sans Text" w:eastAsia="Google Sans Text" w:hAnsi="Google Sans Text" w:cs="Google Sans Text"/>
          <w:color w:val="1B1C1D"/>
        </w:rPr>
        <w:t xml:space="preserve"> core objectives:</w:t>
      </w:r>
    </w:p>
    <w:p w14:paraId="47612EA1"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First, to align our curriculum with current and future industry demands</w:t>
      </w:r>
      <w:r w:rsidRPr="00B51137">
        <w:rPr>
          <w:rFonts w:ascii="Google Sans Text" w:eastAsia="Google Sans Text" w:hAnsi="Google Sans Text" w:cs="Google Sans Text"/>
          <w:color w:val="1B1C1D"/>
        </w:rPr>
        <w:t>. This is guided by CHED Memorandum Order No. 25, s. 2015, which shifted Philippine IT education to an outcomes-based framework. In response, we revised key courses—including DCIT 55, now powered by Oracle Academy’s Database Programming with SQL content. This isn’t theory—it’s industry-certified training, built into our syllabus. We also proposed a revised BSCS curriculum in 2018 to incorporate modern ICT developments and emerging engineering technology courses, reflecting our university’s direction towards becoming a Research University. Our program holds a Certificate of Program Compliance (COPC) from CHED, effective Academic Year 2021-2022.</w:t>
      </w:r>
    </w:p>
    <w:p w14:paraId="76469FFD"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Second, we deliver real-world internship and OJT experiences for every student</w:t>
      </w:r>
      <w:r w:rsidRPr="00B51137">
        <w:rPr>
          <w:rFonts w:ascii="Google Sans Text" w:eastAsia="Google Sans Text" w:hAnsi="Google Sans Text" w:cs="Google Sans Text"/>
          <w:color w:val="1B1C1D"/>
        </w:rPr>
        <w:t>. Each BSCS student completes 240 hours of structured industry immersion. We formalize these through MOAs with companies, LGUs, and internal university offices. To support this, we hold OJT Partnership Fairs, conduct pre-internship workshops, and monitor each placement closely—ensuring both compliance and quality. We have documented lists of OJT centers and students, and sample MOAs, to demonstrate the formal process of these internships.</w:t>
      </w:r>
    </w:p>
    <w:p w14:paraId="0E74B462"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Third, we invest heavily in faculty development</w:t>
      </w:r>
      <w:r w:rsidRPr="00B51137">
        <w:rPr>
          <w:rFonts w:ascii="Google Sans Text" w:eastAsia="Google Sans Text" w:hAnsi="Google Sans Text" w:cs="Google Sans Text"/>
          <w:color w:val="1B1C1D"/>
        </w:rPr>
        <w:t>. Our professors don’t just teach—they train, certify, and immerse themselves in evolving tech domains. Faculty are members of professional bodies like the Philippine Institute of Cyber Security Professionals and Asia-Pacific Consortium of Researchers and Educators. They’ve earned certifications in R, Power BI, data science, and more. This ensures that what we teach reflects what the industry needs—today, not five years ago. Our faculty development is supported by training certificates and industry immersion programs.</w:t>
      </w:r>
    </w:p>
    <w:p w14:paraId="2E38D6A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Fourth, we actively pursue collaborative research and innovation</w:t>
      </w:r>
      <w:r w:rsidRPr="00B51137">
        <w:rPr>
          <w:rFonts w:ascii="Google Sans Text" w:eastAsia="Google Sans Text" w:hAnsi="Google Sans Text" w:cs="Google Sans Text"/>
          <w:color w:val="1B1C1D"/>
        </w:rPr>
        <w:t>. Our faculty and students engage in joint initiatives with partner institutions—projects that focus on practical solutions to local problems, not just academic output. From disaster tech apps to digital literacy tools, these research projects are meaningful, measurable, and mission-driven. These collaborations ensure our research contributes to societal advancement and aligns with current challenges.</w:t>
      </w:r>
    </w:p>
    <w:p w14:paraId="55900109"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Fifth, we focus on employability</w:t>
      </w:r>
      <w:r w:rsidRPr="00B51137">
        <w:rPr>
          <w:rFonts w:ascii="Google Sans Text" w:eastAsia="Google Sans Text" w:hAnsi="Google Sans Text" w:cs="Google Sans Text"/>
          <w:color w:val="1B1C1D"/>
        </w:rPr>
        <w:t>. We host annual job fairs, facilitate industry mentoring, and build direct pipelines to tech employers. These initiatives significantly contribute to our graduates' job placement.</w:t>
      </w:r>
    </w:p>
    <w:p w14:paraId="1084A8D7"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Sixth, we implement ICT-based community extension projects in partnership with local government units and NGOs.</w:t>
      </w:r>
      <w:r w:rsidRPr="00B51137">
        <w:rPr>
          <w:rFonts w:ascii="Google Sans Text" w:eastAsia="Google Sans Text" w:hAnsi="Google Sans Text" w:cs="Google Sans Text"/>
          <w:color w:val="1B1C1D"/>
        </w:rPr>
        <w:t xml:space="preserve"> Beyond employment, we aim for social responsibility. Our </w:t>
      </w:r>
      <w:r w:rsidRPr="00B51137">
        <w:rPr>
          <w:rFonts w:ascii="Google Sans Text" w:eastAsia="Google Sans Text" w:hAnsi="Google Sans Text" w:cs="Google Sans Text"/>
          <w:color w:val="1B1C1D"/>
        </w:rPr>
        <w:lastRenderedPageBreak/>
        <w:t>ICT-based extension programs—like TECHBRIDGE, SIKTeK, and Project Zero—bring digital skills and tools directly to underserved communities. Whether it’s disaster risk reduction apps or zero-waste education, our students and faculty apply computing knowledge to real human needs.</w:t>
      </w:r>
    </w:p>
    <w:p w14:paraId="4C4DE92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2C566335">
          <v:rect id="_x0000_i1159" style="width:0;height:1.5pt" o:hralign="center" o:hrstd="t" o:hr="t" fillcolor="#a0a0a0" stroked="f"/>
        </w:pict>
      </w:r>
    </w:p>
    <w:p w14:paraId="63F6DEC6"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2: Adequate and Relevant Projects/Activities to Achieve the Objectives</w:t>
      </w:r>
    </w:p>
    <w:p w14:paraId="10CD4F10"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To achieve these objectives, we implement a range of adequate and relevant projects. Our curriculum alignment is evidenced by our strategic partnerships with global leaders like Oracle Academy and Cisco Networking Academy. These collaborations directly integrate industry-standard content into our courses, providing our students with access to cutting-edge tools and resources for certifications.</w:t>
      </w:r>
    </w:p>
    <w:p w14:paraId="2F5ED954"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For real-world experience, we hold annual OJT Partnership Fairs that connect our students directly with companies, local government units, and university offices. We also conduct pre-internship readiness workshops to prepare students for the demands of professional work.</w:t>
      </w:r>
    </w:p>
    <w:p w14:paraId="64C42E0D"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In terms of faculty development, our professors undergo continuous training and certification in evolving tech domains. For instance, we have certificates demonstrating training in "Data Analytics using R" and "Business Intelligence with Power BI Desktop". This ensures our teaching methodologies and content remain current and relevant to industry needs.</w:t>
      </w:r>
    </w:p>
    <w:p w14:paraId="55278DF3"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Our commitment to employability is demonstrated through career fairs and industry mentoring programs, building direct pipelines to tech employers. These initiatives significantly contribute to our graduates' job placement.</w:t>
      </w:r>
    </w:p>
    <w:p w14:paraId="697D8C53"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Finally, for community impact, we have successfully implemented various ICT-based extension projects such as "TECHBRIDGE: Empowering Communities with IT Skills and Innovative Tools," "Tech Edu-Boost," and "Salin Impormasyon at Kaalaman sa Teknolohiya ng Kompyuter (SIKTeK)." These projects apply computing knowledge to real-world community needs, from digital literacy to disaster risk reduction. We maintain MOAs and photo documentation for these initiatives as proof of their impact.</w:t>
      </w:r>
    </w:p>
    <w:p w14:paraId="107D3F52"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0928C2FF">
          <v:rect id="_x0000_i1160" style="width:0;height:1.5pt" o:hralign="center" o:hrstd="t" o:hr="t" fillcolor="#a0a0a0" stroked="f"/>
        </w:pict>
      </w:r>
    </w:p>
    <w:p w14:paraId="2FF2E73C"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3: Systematic and Effective Procedures (Planning, Implementation, Monitoring, and Evaluation)</w:t>
      </w:r>
    </w:p>
    <w:p w14:paraId="149DB65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Our linkage efforts follow systematic and effective procedures, encompassing planning, implementation, monitoring, and evaluation. A prime example is our process for student internships. We have a well-defined flow from initial enrollment for OJT, through the formalization of Memorandum of Agreements with partner companies, to the actual immersion.</w:t>
      </w:r>
    </w:p>
    <w:p w14:paraId="01694E1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During the implementation phase, students are closely monitored, and their progress is regularly assessed. This includes requiring them to complete 240 hours of OJT, with a narrative report submission and a certificate of completion upon successful fulfillment.</w:t>
      </w:r>
    </w:p>
    <w:p w14:paraId="3FE5DFC9"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 xml:space="preserve">For community extension projects, the process also involves thorough planning, formal agreements with local government units or non-profit organizations, and continuous monitoring of project activities and outcomes. This systematic approach ensures the </w:t>
      </w:r>
      <w:r w:rsidRPr="00B51137">
        <w:rPr>
          <w:rFonts w:ascii="Google Sans Text" w:eastAsia="Google Sans Text" w:hAnsi="Google Sans Text" w:cs="Google Sans Text"/>
          <w:color w:val="1B1C1D"/>
        </w:rPr>
        <w:lastRenderedPageBreak/>
        <w:t>effectiveness and sustainability of our partnerships.</w:t>
      </w:r>
    </w:p>
    <w:p w14:paraId="70C6FF87"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7BCD62D6">
          <v:rect id="_x0000_i1161" style="width:0;height:1.5pt" o:hralign="center" o:hrstd="t" o:hr="t" fillcolor="#a0a0a0" stroked="f"/>
        </w:pict>
      </w:r>
    </w:p>
    <w:p w14:paraId="1D45DDB9"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4: Reasonable Budget &amp; Provision of Materials and Other Resources</w:t>
      </w:r>
    </w:p>
    <w:p w14:paraId="1C57C977"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While specific budget figures are managed by the university, our strategic allocation of resources ensures effective implementation of all linkage programs. Many of our partnerships, particularly with industry leaders like Oracle Academy and Cisco, provide invaluable materials and resources at no direct cost to the department. These include specialized software, online learning modules, and access to professional development tools that would otherwise require substantial investment.</w:t>
      </w:r>
    </w:p>
    <w:p w14:paraId="6ED8AA1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Furthermore, our collaborations with government agencies and NGOs often involve sharing of resources, facilities, and expertise, maximizing the impact of our projects while optimizing financial outlays. This approach ensures that our programs are robust, well-supported, and sustainable, making the most of every opportunity presented by our partnerships.</w:t>
      </w:r>
    </w:p>
    <w:p w14:paraId="0902996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1155A069">
          <v:rect id="_x0000_i1162" style="width:0;height:1.5pt" o:hralign="center" o:hrstd="t" o:hr="t" fillcolor="#a0a0a0" stroked="f"/>
        </w:pict>
      </w:r>
    </w:p>
    <w:p w14:paraId="43C435A0"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5: Participation of a Significant Number of Faculty/Staff/Student Community in Major Projects/Activities</w:t>
      </w:r>
    </w:p>
    <w:p w14:paraId="594A04D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A key indicator of our successful linkages is the significant participation of our faculty, staff, and student community in major projects and activities. For instance, every BSCS student is required to complete 240 hours of industry immersion through our OJT program, directly engaging with various companies and organizations. This ensures near-universal student involvement in real-world application of their skills.</w:t>
      </w:r>
    </w:p>
    <w:p w14:paraId="07A91536"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Our faculty members are actively involved in research collaborations, industry immersion, and professional development programs, as evidenced by their memberships in national and international professional bodies and various training certificates.</w:t>
      </w:r>
    </w:p>
    <w:p w14:paraId="7C9F6F50"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Beyond this, our ICT-based community extension programs, like TECHBRIDGE and SIKTeK, see substantial participation from both faculty and students. They work together to develop and implement solutions for local communities, directly applying their academic knowledge to societal needs. This widespread participation underscores the deep integration of our linkages into the academic and community life of the BSCS program.</w:t>
      </w:r>
    </w:p>
    <w:p w14:paraId="0B7E40D5"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1CF78894">
          <v:rect id="_x0000_i1163" style="width:0;height:1.5pt" o:hralign="center" o:hrstd="t" o:hr="t" fillcolor="#a0a0a0" stroked="f"/>
        </w:pict>
      </w:r>
    </w:p>
    <w:p w14:paraId="0589ED18"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6: Awards and Distinction and Best Practices Relevant to Instruction</w:t>
      </w:r>
    </w:p>
    <w:p w14:paraId="175970A9"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Our commitment to excellence through linkages has resulted in notable awards, distinctions, and best practices that enhance instruction. Our adherence to CHED Memorandum Order No. 25, s. 2015, and the subsequent revision of our BSCS curriculum, culminated in our program receiving a Certificate of Program Compliance (COPC) from CHED, effective Academic Year 2021-2022. This is a significant recognition of our curriculum's alignment and quality.</w:t>
      </w:r>
    </w:p>
    <w:p w14:paraId="5D43CD0C"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 xml:space="preserve">A core best practice relevant to instruction is our strategic partnership with Oracle Academy and Cisco Networking Academy. These collaborations allow us to directly integrate industry-certified content into our courses, such as DCIT 55, ensuring that our students receive training that is immediately relevant and recognized by the industry. This provides an </w:t>
      </w:r>
      <w:r w:rsidRPr="00B51137">
        <w:rPr>
          <w:rFonts w:ascii="Google Sans Text" w:eastAsia="Google Sans Text" w:hAnsi="Google Sans Text" w:cs="Google Sans Text"/>
          <w:color w:val="1B1C1D"/>
        </w:rPr>
        <w:lastRenderedPageBreak/>
        <w:t>invaluable advantage in preparing our graduates for the workforce.</w:t>
      </w:r>
    </w:p>
    <w:p w14:paraId="0D1E3468"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Furthermore, the continuous professional development and certifications pursued by our faculty through various linkages directly translate into enriched classroom instruction, as they bring cutting-edge industry knowledge and techniques back to the students.</w:t>
      </w:r>
    </w:p>
    <w:p w14:paraId="5ACD3499"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5F3F6497">
          <v:rect id="_x0000_i1164" style="width:0;height:1.5pt" o:hralign="center" o:hrstd="t" o:hr="t" fillcolor="#a0a0a0" stroked="f"/>
        </w:pict>
      </w:r>
    </w:p>
    <w:p w14:paraId="0D67C1F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7: Best Practices Adopted</w:t>
      </w:r>
    </w:p>
    <w:p w14:paraId="608958F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We have adopted several key best practices that underpin the success of our linkage programs:</w:t>
      </w:r>
    </w:p>
    <w:p w14:paraId="102761C3" w14:textId="77777777" w:rsidR="00B51137" w:rsidRPr="00B51137" w:rsidRDefault="00B51137" w:rsidP="00B51137">
      <w:pPr>
        <w:numPr>
          <w:ilvl w:val="0"/>
          <w:numId w:val="4"/>
        </w:num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Curriculum Integration with Industry Certifications:</w:t>
      </w:r>
      <w:r w:rsidRPr="00B51137">
        <w:rPr>
          <w:rFonts w:ascii="Google Sans Text" w:eastAsia="Google Sans Text" w:hAnsi="Google Sans Text" w:cs="Google Sans Text"/>
          <w:color w:val="1B1C1D"/>
        </w:rPr>
        <w:t xml:space="preserve"> This is exemplified by our use of Oracle Academy and Cisco Networking Academy content, directly embedding industry-recognized training and tools into our BSCS syllabus.</w:t>
      </w:r>
    </w:p>
    <w:p w14:paraId="51DE41BE" w14:textId="77777777" w:rsidR="00B51137" w:rsidRPr="00B51137" w:rsidRDefault="00B51137" w:rsidP="00B51137">
      <w:pPr>
        <w:numPr>
          <w:ilvl w:val="0"/>
          <w:numId w:val="4"/>
        </w:num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Formalized Internship Process:</w:t>
      </w:r>
      <w:r w:rsidRPr="00B51137">
        <w:rPr>
          <w:rFonts w:ascii="Google Sans Text" w:eastAsia="Google Sans Text" w:hAnsi="Google Sans Text" w:cs="Google Sans Text"/>
          <w:color w:val="1B1C1D"/>
        </w:rPr>
        <w:t xml:space="preserve"> Our OJT program includes formalized MOAs, pre-internship workshops, and strict monitoring, ensuring quality and compliance for every student's industry immersion.</w:t>
      </w:r>
    </w:p>
    <w:p w14:paraId="568CEFF0" w14:textId="77777777" w:rsidR="00B51137" w:rsidRPr="00B51137" w:rsidRDefault="00B51137" w:rsidP="00B51137">
      <w:pPr>
        <w:numPr>
          <w:ilvl w:val="0"/>
          <w:numId w:val="4"/>
        </w:num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Continuous Faculty Professional Development:</w:t>
      </w:r>
      <w:r w:rsidRPr="00B51137">
        <w:rPr>
          <w:rFonts w:ascii="Google Sans Text" w:eastAsia="Google Sans Text" w:hAnsi="Google Sans Text" w:cs="Google Sans Text"/>
          <w:color w:val="1B1C1D"/>
        </w:rPr>
        <w:t xml:space="preserve"> We actively support faculty training, certifications, and memberships in professional bodies, ensuring that what they teach is current and reflective of industry trends.</w:t>
      </w:r>
    </w:p>
    <w:p w14:paraId="77DDA2D3" w14:textId="77777777" w:rsidR="00B51137" w:rsidRPr="00B51137" w:rsidRDefault="00B51137" w:rsidP="00B51137">
      <w:pPr>
        <w:numPr>
          <w:ilvl w:val="0"/>
          <w:numId w:val="4"/>
        </w:num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Community-Centric ICT Projects:</w:t>
      </w:r>
      <w:r w:rsidRPr="00B51137">
        <w:rPr>
          <w:rFonts w:ascii="Google Sans Text" w:eastAsia="Google Sans Text" w:hAnsi="Google Sans Text" w:cs="Google Sans Text"/>
          <w:color w:val="1B1C1D"/>
        </w:rPr>
        <w:t xml:space="preserve"> Our extension programs like TECHBRIDGE and SIKTeK focus on applying computing knowledge to solve real-world community problems, demonstrating social responsibility and providing practical experience for students.</w:t>
      </w:r>
    </w:p>
    <w:p w14:paraId="0CBC744A" w14:textId="77777777" w:rsidR="00B51137" w:rsidRPr="00B51137" w:rsidRDefault="00B51137" w:rsidP="00B51137">
      <w:pPr>
        <w:numPr>
          <w:ilvl w:val="0"/>
          <w:numId w:val="4"/>
        </w:num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Annual Job Fairs and Career Support:</w:t>
      </w:r>
      <w:r w:rsidRPr="00B51137">
        <w:rPr>
          <w:rFonts w:ascii="Google Sans Text" w:eastAsia="Google Sans Text" w:hAnsi="Google Sans Text" w:cs="Google Sans Text"/>
          <w:color w:val="1B1C1D"/>
        </w:rPr>
        <w:t xml:space="preserve"> Hosting regular job fairs and facilitating industry mentoring directly enhances graduate employability by connecting students with potential employers.</w:t>
      </w:r>
    </w:p>
    <w:p w14:paraId="34C5E345"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These practices collectively ensure that our linkages are not just formal agreements but active, impactful collaborations that benefit our students, faculty, and the wider community.</w:t>
      </w:r>
    </w:p>
    <w:p w14:paraId="26ACA43C"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pict w14:anchorId="1E02D1FE">
          <v:rect id="_x0000_i1165" style="width:0;height:1.5pt" o:hralign="center" o:hrstd="t" o:hr="t" fillcolor="#a0a0a0" stroked="f"/>
        </w:pict>
      </w:r>
    </w:p>
    <w:p w14:paraId="4825674A"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Section 8: Future Plans</w:t>
      </w:r>
    </w:p>
    <w:p w14:paraId="5DF86563"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Looking ahead, we have robust future plans to further strengthen our linkages and ensure the continued excellence of the BSCS program:</w:t>
      </w:r>
    </w:p>
    <w:p w14:paraId="1D566933"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Industry Partnerships:</w:t>
      </w:r>
      <w:r w:rsidRPr="00B51137">
        <w:rPr>
          <w:rFonts w:ascii="Google Sans Text" w:eastAsia="Google Sans Text" w:hAnsi="Google Sans Text" w:cs="Google Sans Text"/>
          <w:color w:val="1B1C1D"/>
        </w:rPr>
        <w:t xml:space="preserve"> We will continue to expand mandatory internships and certification programs with global tech giants such as Cisco, AWS, and Google. We plan to establish an Industry Advisory Board to ensure our curriculum remains perfectly aligned with workforce demands. Furthermore, regular hackathons, coding competitions, and guest lectures by industry experts will bridge the gap between classroom learning and real-world applications.</w:t>
      </w:r>
    </w:p>
    <w:p w14:paraId="170E8207"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Academic and Research Collaborations:</w:t>
      </w:r>
      <w:r w:rsidRPr="00B51137">
        <w:rPr>
          <w:rFonts w:ascii="Google Sans Text" w:eastAsia="Google Sans Text" w:hAnsi="Google Sans Text" w:cs="Google Sans Text"/>
          <w:color w:val="1B1C1D"/>
        </w:rPr>
        <w:t xml:space="preserve"> We will prioritize forming partnerships with top universities and research institutions for joint projects, faculty exchanges, and student immersion programs. We also aim to integrate online micro-credentials, such as Coursera and edX specializations, into the curriculum for continuous upskilling. Fostering research grants and paper publications with institutions like IEEE and ACM will be key to promoting innovation.</w:t>
      </w:r>
    </w:p>
    <w:p w14:paraId="229EF85F"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lastRenderedPageBreak/>
        <w:t>Government and Community Engagement:</w:t>
      </w:r>
      <w:r w:rsidRPr="00B51137">
        <w:rPr>
          <w:rFonts w:ascii="Google Sans Text" w:eastAsia="Google Sans Text" w:hAnsi="Google Sans Text" w:cs="Google Sans Text"/>
          <w:color w:val="1B1C1D"/>
        </w:rPr>
        <w:t xml:space="preserve"> Our focus will be on applying computer science for social good. This includes pursuing public-sector tech projects with agencies like DICT and DOST, engaging in community-based app development for Non-Governmental Organizations, and offering free coding bootcamps for underserved youth. These initiatives will reinforce our program’s commitment to digital inclusion and ethical computing.</w:t>
      </w:r>
    </w:p>
    <w:p w14:paraId="47AB2655"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Alumni and Professional Networks:</w:t>
      </w:r>
      <w:r w:rsidRPr="00B51137">
        <w:rPr>
          <w:rFonts w:ascii="Google Sans Text" w:eastAsia="Google Sans Text" w:hAnsi="Google Sans Text" w:cs="Google Sans Text"/>
          <w:color w:val="1B1C1D"/>
        </w:rPr>
        <w:t xml:space="preserve"> We will strengthen our alumni network through mentorship programs, dedicated job fairs, and professional LinkedIn networking groups to enhance career opportunities for our graduates.</w:t>
      </w:r>
    </w:p>
    <w:p w14:paraId="0BEA7235"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b/>
          <w:bCs/>
          <w:color w:val="1B1C1D"/>
        </w:rPr>
        <w:t>Curriculum Enhancements:</w:t>
      </w:r>
      <w:r w:rsidRPr="00B51137">
        <w:rPr>
          <w:rFonts w:ascii="Google Sans Text" w:eastAsia="Google Sans Text" w:hAnsi="Google Sans Text" w:cs="Google Sans Text"/>
          <w:color w:val="1B1C1D"/>
        </w:rPr>
        <w:t xml:space="preserve"> We plan to introduce emerging technology specializations in areas like Artificial Intelligence, cybersecurity, and blockchain. Additionally, we will require capstone projects to be sponsored by industry partners, ensuring our graduates are future-ready and capable of addressing the evolving demands of the tech landscape.</w:t>
      </w:r>
    </w:p>
    <w:p w14:paraId="3C2C213D"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r w:rsidRPr="00B51137">
        <w:rPr>
          <w:rFonts w:ascii="Google Sans Text" w:eastAsia="Google Sans Text" w:hAnsi="Google Sans Text" w:cs="Google Sans Text"/>
          <w:color w:val="1B1C1D"/>
        </w:rPr>
        <w:t>These future plans represent our unwavering commitment to maintaining cutting-edge academic programs and producing highly competent, ethically-minded computing professionals who are prepared to make significant contributions to society.</w:t>
      </w:r>
    </w:p>
    <w:p w14:paraId="50F24530" w14:textId="77777777" w:rsidR="00B51137" w:rsidRPr="00B51137" w:rsidRDefault="00B51137" w:rsidP="00B51137">
      <w:pPr>
        <w:pBdr>
          <w:top w:val="nil"/>
          <w:left w:val="nil"/>
          <w:bottom w:val="nil"/>
          <w:right w:val="nil"/>
          <w:between w:val="nil"/>
        </w:pBdr>
        <w:spacing w:line="276" w:lineRule="auto"/>
        <w:rPr>
          <w:rFonts w:ascii="Google Sans Text" w:eastAsia="Google Sans Text" w:hAnsi="Google Sans Text" w:cs="Google Sans Text"/>
          <w:color w:val="1B1C1D"/>
        </w:rPr>
      </w:pPr>
    </w:p>
    <w:sectPr w:rsidR="00B51137" w:rsidRPr="00B5113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4DF66EF-8BBB-4BD4-AAD4-B41D687AEFFE}"/>
    <w:embedItalic r:id="rId2" w:fontKey="{8D946B7F-332C-4561-9CC8-EEA0AB80F509}"/>
  </w:font>
  <w:font w:name="Google Sans Text">
    <w:charset w:val="00"/>
    <w:family w:val="auto"/>
    <w:pitch w:val="default"/>
    <w:embedRegular r:id="rId3" w:fontKey="{9E7669E1-62EF-4C82-B440-B5D04BAD5548}"/>
    <w:embedBold r:id="rId4" w:fontKey="{30161BC5-A77C-44EB-9E43-2E4C0D6BD1D4}"/>
  </w:font>
  <w:font w:name="Calibri">
    <w:panose1 w:val="020F0502020204030204"/>
    <w:charset w:val="00"/>
    <w:family w:val="swiss"/>
    <w:pitch w:val="variable"/>
    <w:sig w:usb0="E4002EFF" w:usb1="C200247B" w:usb2="00000009" w:usb3="00000000" w:csb0="000001FF" w:csb1="00000000"/>
    <w:embedRegular r:id="rId5" w:fontKey="{8BC028D2-98AA-4BC5-8026-3CD325CEC8A7}"/>
  </w:font>
  <w:font w:name="Cambria">
    <w:panose1 w:val="02040503050406030204"/>
    <w:charset w:val="00"/>
    <w:family w:val="roman"/>
    <w:pitch w:val="variable"/>
    <w:sig w:usb0="E00006FF" w:usb1="420024FF" w:usb2="02000000" w:usb3="00000000" w:csb0="0000019F" w:csb1="00000000"/>
    <w:embedRegular r:id="rId6" w:fontKey="{F276D283-FB75-4B08-B0FA-EF6CDE230F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3" style="width:0;height:1.5pt" o:hralign="center" o:bullet="t" o:hrstd="t" o:hr="t" fillcolor="#a0a0a0" stroked="f"/>
    </w:pict>
  </w:numPicBullet>
  <w:abstractNum w:abstractNumId="0" w15:restartNumberingAfterBreak="0">
    <w:nsid w:val="075B517B"/>
    <w:multiLevelType w:val="multilevel"/>
    <w:tmpl w:val="206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54D92"/>
    <w:multiLevelType w:val="hybridMultilevel"/>
    <w:tmpl w:val="3452AD9A"/>
    <w:lvl w:ilvl="0" w:tplc="9B9E9322">
      <w:start w:val="1"/>
      <w:numFmt w:val="bullet"/>
      <w:lvlText w:val=""/>
      <w:lvlPicBulletId w:val="0"/>
      <w:lvlJc w:val="left"/>
      <w:pPr>
        <w:tabs>
          <w:tab w:val="num" w:pos="720"/>
        </w:tabs>
        <w:ind w:left="720" w:hanging="360"/>
      </w:pPr>
      <w:rPr>
        <w:rFonts w:ascii="Symbol" w:hAnsi="Symbol" w:hint="default"/>
      </w:rPr>
    </w:lvl>
    <w:lvl w:ilvl="1" w:tplc="211C76EA" w:tentative="1">
      <w:start w:val="1"/>
      <w:numFmt w:val="bullet"/>
      <w:lvlText w:val=""/>
      <w:lvlJc w:val="left"/>
      <w:pPr>
        <w:tabs>
          <w:tab w:val="num" w:pos="1440"/>
        </w:tabs>
        <w:ind w:left="1440" w:hanging="360"/>
      </w:pPr>
      <w:rPr>
        <w:rFonts w:ascii="Symbol" w:hAnsi="Symbol" w:hint="default"/>
      </w:rPr>
    </w:lvl>
    <w:lvl w:ilvl="2" w:tplc="71DC9824" w:tentative="1">
      <w:start w:val="1"/>
      <w:numFmt w:val="bullet"/>
      <w:lvlText w:val=""/>
      <w:lvlJc w:val="left"/>
      <w:pPr>
        <w:tabs>
          <w:tab w:val="num" w:pos="2160"/>
        </w:tabs>
        <w:ind w:left="2160" w:hanging="360"/>
      </w:pPr>
      <w:rPr>
        <w:rFonts w:ascii="Symbol" w:hAnsi="Symbol" w:hint="default"/>
      </w:rPr>
    </w:lvl>
    <w:lvl w:ilvl="3" w:tplc="26CE2D3C" w:tentative="1">
      <w:start w:val="1"/>
      <w:numFmt w:val="bullet"/>
      <w:lvlText w:val=""/>
      <w:lvlJc w:val="left"/>
      <w:pPr>
        <w:tabs>
          <w:tab w:val="num" w:pos="2880"/>
        </w:tabs>
        <w:ind w:left="2880" w:hanging="360"/>
      </w:pPr>
      <w:rPr>
        <w:rFonts w:ascii="Symbol" w:hAnsi="Symbol" w:hint="default"/>
      </w:rPr>
    </w:lvl>
    <w:lvl w:ilvl="4" w:tplc="AAA2806C" w:tentative="1">
      <w:start w:val="1"/>
      <w:numFmt w:val="bullet"/>
      <w:lvlText w:val=""/>
      <w:lvlJc w:val="left"/>
      <w:pPr>
        <w:tabs>
          <w:tab w:val="num" w:pos="3600"/>
        </w:tabs>
        <w:ind w:left="3600" w:hanging="360"/>
      </w:pPr>
      <w:rPr>
        <w:rFonts w:ascii="Symbol" w:hAnsi="Symbol" w:hint="default"/>
      </w:rPr>
    </w:lvl>
    <w:lvl w:ilvl="5" w:tplc="4560CF4E" w:tentative="1">
      <w:start w:val="1"/>
      <w:numFmt w:val="bullet"/>
      <w:lvlText w:val=""/>
      <w:lvlJc w:val="left"/>
      <w:pPr>
        <w:tabs>
          <w:tab w:val="num" w:pos="4320"/>
        </w:tabs>
        <w:ind w:left="4320" w:hanging="360"/>
      </w:pPr>
      <w:rPr>
        <w:rFonts w:ascii="Symbol" w:hAnsi="Symbol" w:hint="default"/>
      </w:rPr>
    </w:lvl>
    <w:lvl w:ilvl="6" w:tplc="6ECCE57C" w:tentative="1">
      <w:start w:val="1"/>
      <w:numFmt w:val="bullet"/>
      <w:lvlText w:val=""/>
      <w:lvlJc w:val="left"/>
      <w:pPr>
        <w:tabs>
          <w:tab w:val="num" w:pos="5040"/>
        </w:tabs>
        <w:ind w:left="5040" w:hanging="360"/>
      </w:pPr>
      <w:rPr>
        <w:rFonts w:ascii="Symbol" w:hAnsi="Symbol" w:hint="default"/>
      </w:rPr>
    </w:lvl>
    <w:lvl w:ilvl="7" w:tplc="5C62B12C" w:tentative="1">
      <w:start w:val="1"/>
      <w:numFmt w:val="bullet"/>
      <w:lvlText w:val=""/>
      <w:lvlJc w:val="left"/>
      <w:pPr>
        <w:tabs>
          <w:tab w:val="num" w:pos="5760"/>
        </w:tabs>
        <w:ind w:left="5760" w:hanging="360"/>
      </w:pPr>
      <w:rPr>
        <w:rFonts w:ascii="Symbol" w:hAnsi="Symbol" w:hint="default"/>
      </w:rPr>
    </w:lvl>
    <w:lvl w:ilvl="8" w:tplc="73B43FE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60B60251"/>
    <w:multiLevelType w:val="multilevel"/>
    <w:tmpl w:val="13DEB2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7B135800"/>
    <w:multiLevelType w:val="multilevel"/>
    <w:tmpl w:val="86A86B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05770290">
    <w:abstractNumId w:val="3"/>
  </w:num>
  <w:num w:numId="2" w16cid:durableId="405690900">
    <w:abstractNumId w:val="2"/>
  </w:num>
  <w:num w:numId="3" w16cid:durableId="1830436975">
    <w:abstractNumId w:val="1"/>
  </w:num>
  <w:num w:numId="4" w16cid:durableId="1257519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713"/>
    <w:rsid w:val="007A5713"/>
    <w:rsid w:val="00940CB6"/>
    <w:rsid w:val="00B51137"/>
    <w:rsid w:val="00E25F1D"/>
    <w:rsid w:val="00E6672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FF4E"/>
  <w15:docId w15:val="{FE82DF04-2ED3-4521-9E72-34A880861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PH" w:eastAsia="en-PH"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51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2547</Words>
  <Characters>14521</Characters>
  <Application>Microsoft Office Word</Application>
  <DocSecurity>0</DocSecurity>
  <Lines>121</Lines>
  <Paragraphs>34</Paragraphs>
  <ScaleCrop>false</ScaleCrop>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Franklin Gian Sarmiento</cp:lastModifiedBy>
  <cp:revision>4</cp:revision>
  <dcterms:created xsi:type="dcterms:W3CDTF">2025-07-27T17:27:00Z</dcterms:created>
  <dcterms:modified xsi:type="dcterms:W3CDTF">2025-07-27T17:48:00Z</dcterms:modified>
</cp:coreProperties>
</file>