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6FB6A" w14:textId="77777777" w:rsidR="008E7599" w:rsidRDefault="008E7599">
      <w:pPr>
        <w:spacing w:after="200"/>
      </w:pPr>
    </w:p>
    <w:p w14:paraId="12E7F624" w14:textId="77777777" w:rsidR="008E7599" w:rsidRDefault="008E7599">
      <w:pPr>
        <w:spacing w:after="200"/>
      </w:pPr>
    </w:p>
    <w:p w14:paraId="67DA7461" w14:textId="77777777" w:rsidR="008E7599" w:rsidRDefault="0092784B">
      <w:pPr>
        <w:spacing w:after="80"/>
        <w:jc w:val="center"/>
      </w:pPr>
      <w:r>
        <w:rPr>
          <w:b/>
          <w:bCs/>
          <w:color w:val="1F3B57"/>
          <w:sz w:val="40"/>
          <w:szCs w:val="40"/>
        </w:rPr>
        <w:t>Architecture Design Analysis</w:t>
      </w:r>
    </w:p>
    <w:p w14:paraId="42AF9B02" w14:textId="77777777" w:rsidR="008E7599" w:rsidRDefault="0092784B">
      <w:pPr>
        <w:pBdr>
          <w:bottom w:val="single" w:sz="8" w:space="8" w:color="1F3B57"/>
        </w:pBdr>
        <w:spacing w:after="400"/>
        <w:jc w:val="center"/>
      </w:pPr>
      <w:r>
        <w:rPr>
          <w:b/>
          <w:bCs/>
          <w:color w:val="1F3B57"/>
          <w:sz w:val="28"/>
          <w:szCs w:val="28"/>
        </w:rPr>
        <w:t>Architecture Design Report</w:t>
      </w:r>
    </w:p>
    <w:p w14:paraId="65DA7989" w14:textId="77777777" w:rsidR="008E7599" w:rsidRDefault="008E7599">
      <w:pPr>
        <w:spacing w:after="300"/>
      </w:pPr>
    </w:p>
    <w:p w14:paraId="0975667F" w14:textId="77777777" w:rsidR="008E7599" w:rsidRDefault="0092784B">
      <w:pPr>
        <w:spacing w:after="120"/>
        <w:jc w:val="center"/>
      </w:pPr>
      <w:proofErr w:type="gramStart"/>
      <w:r>
        <w:rPr>
          <w:b/>
          <w:bCs/>
          <w:sz w:val="26"/>
          <w:szCs w:val="26"/>
        </w:rPr>
        <w:t>NAME  :</w:t>
      </w:r>
      <w:proofErr w:type="gramEnd"/>
      <w:r>
        <w:rPr>
          <w:b/>
          <w:bCs/>
          <w:sz w:val="26"/>
          <w:szCs w:val="26"/>
        </w:rPr>
        <w:t xml:space="preserve">  DEVI VARA PRASAD MOKHARALA</w:t>
      </w:r>
    </w:p>
    <w:p w14:paraId="77E9D4EC" w14:textId="77777777" w:rsidR="008E7599" w:rsidRDefault="0092784B">
      <w:pPr>
        <w:spacing w:after="120"/>
        <w:jc w:val="center"/>
      </w:pPr>
      <w:r>
        <w:rPr>
          <w:b/>
          <w:bCs/>
          <w:sz w:val="26"/>
          <w:szCs w:val="26"/>
        </w:rPr>
        <w:t xml:space="preserve">REG </w:t>
      </w:r>
      <w:proofErr w:type="gramStart"/>
      <w:r>
        <w:rPr>
          <w:b/>
          <w:bCs/>
          <w:sz w:val="26"/>
          <w:szCs w:val="26"/>
        </w:rPr>
        <w:t>NO  :</w:t>
      </w:r>
      <w:proofErr w:type="gramEnd"/>
      <w:r>
        <w:rPr>
          <w:b/>
          <w:bCs/>
          <w:sz w:val="26"/>
          <w:szCs w:val="26"/>
        </w:rPr>
        <w:t xml:space="preserve">  192365032</w:t>
      </w:r>
    </w:p>
    <w:p w14:paraId="609A6A2D" w14:textId="77777777" w:rsidR="008E7599" w:rsidRDefault="0092784B">
      <w:pPr>
        <w:spacing w:after="500"/>
        <w:jc w:val="center"/>
      </w:pPr>
      <w:proofErr w:type="gramStart"/>
      <w:r>
        <w:rPr>
          <w:b/>
          <w:bCs/>
          <w:sz w:val="26"/>
          <w:szCs w:val="26"/>
        </w:rPr>
        <w:t>COURSE  :</w:t>
      </w:r>
      <w:proofErr w:type="gramEnd"/>
      <w:r>
        <w:rPr>
          <w:b/>
          <w:bCs/>
          <w:sz w:val="26"/>
          <w:szCs w:val="26"/>
        </w:rPr>
        <w:t xml:space="preserve">  SOFTWARE ENGINEERING</w:t>
      </w:r>
    </w:p>
    <w:p w14:paraId="1EE837B6" w14:textId="77777777" w:rsidR="008E7599" w:rsidRDefault="008E7599">
      <w:pPr>
        <w:spacing w:after="600"/>
      </w:pPr>
    </w:p>
    <w:p w14:paraId="4DAE0228" w14:textId="77777777" w:rsidR="008E7599" w:rsidRDefault="0092784B">
      <w:pPr>
        <w:spacing w:after="80"/>
        <w:jc w:val="center"/>
      </w:pPr>
      <w:r>
        <w:rPr>
          <w:b/>
          <w:bCs/>
          <w:color w:val="1F3B57"/>
          <w:sz w:val="26"/>
          <w:szCs w:val="26"/>
        </w:rPr>
        <w:t>Assigned Problem Statement</w:t>
      </w:r>
    </w:p>
    <w:p w14:paraId="2795857C" w14:textId="77777777" w:rsidR="008E7599" w:rsidRDefault="0092784B">
      <w:pPr>
        <w:spacing w:after="40"/>
        <w:jc w:val="center"/>
      </w:pPr>
      <w:r>
        <w:rPr>
          <w:b/>
          <w:bCs/>
          <w:sz w:val="24"/>
          <w:szCs w:val="24"/>
        </w:rPr>
        <w:t>AI-Driven Urban Flood Monitoring and</w:t>
      </w:r>
    </w:p>
    <w:p w14:paraId="2E2EAE6E" w14:textId="77777777" w:rsidR="008E7599" w:rsidRDefault="0092784B">
      <w:pPr>
        <w:spacing w:after="500"/>
        <w:jc w:val="center"/>
      </w:pPr>
      <w:r>
        <w:rPr>
          <w:b/>
          <w:bCs/>
          <w:sz w:val="24"/>
          <w:szCs w:val="24"/>
        </w:rPr>
        <w:t>Risk Assessment Platform</w:t>
      </w:r>
    </w:p>
    <w:p w14:paraId="4FE67745" w14:textId="77777777" w:rsidR="008E7599" w:rsidRDefault="0092784B">
      <w:pPr>
        <w:jc w:val="center"/>
      </w:pPr>
      <w:r>
        <w:rPr>
          <w:color w:val="555555"/>
          <w:sz w:val="20"/>
          <w:szCs w:val="20"/>
        </w:rPr>
        <w:t>Smart City &amp; Disaster Management Domain</w:t>
      </w:r>
    </w:p>
    <w:p w14:paraId="577A6C94" w14:textId="77777777" w:rsidR="008E7599" w:rsidRDefault="0092784B">
      <w:pPr>
        <w:spacing w:before="100"/>
        <w:jc w:val="center"/>
      </w:pPr>
      <w:r>
        <w:rPr>
          <w:color w:val="555555"/>
          <w:sz w:val="20"/>
          <w:szCs w:val="20"/>
        </w:rPr>
        <w:t>August 2026</w:t>
      </w:r>
    </w:p>
    <w:p w14:paraId="0EA453CB" w14:textId="77777777" w:rsidR="008E7599" w:rsidRDefault="0092784B">
      <w:r>
        <w:br w:type="page"/>
      </w:r>
    </w:p>
    <w:p w14:paraId="512F470C" w14:textId="77777777" w:rsidR="008E7599" w:rsidRDefault="008E7599">
      <w:pPr>
        <w:sectPr w:rsidR="008E7599">
          <w:pgSz w:w="11906" w:h="16838"/>
          <w:pgMar w:top="1440" w:right="1440" w:bottom="1440" w:left="1440" w:header="708" w:footer="708" w:gutter="0"/>
          <w:cols w:space="720"/>
          <w:docGrid w:linePitch="360"/>
        </w:sectPr>
      </w:pPr>
    </w:p>
    <w:p w14:paraId="1DC568F5" w14:textId="77777777" w:rsidR="008E7599" w:rsidRDefault="0092784B">
      <w:pPr>
        <w:pStyle w:val="Heading1"/>
      </w:pPr>
      <w:r>
        <w:lastRenderedPageBreak/>
        <w:t>Executive Summary</w:t>
      </w:r>
    </w:p>
    <w:p w14:paraId="3958516D" w14:textId="77777777" w:rsidR="008E7599" w:rsidRDefault="0092784B">
      <w:pPr>
        <w:spacing w:after="160" w:line="276" w:lineRule="auto"/>
      </w:pPr>
      <w:r>
        <w:t xml:space="preserve">This report </w:t>
      </w:r>
      <w:proofErr w:type="spellStart"/>
      <w:r>
        <w:t>analyzes</w:t>
      </w:r>
      <w:proofErr w:type="spellEnd"/>
      <w:r>
        <w:t xml:space="preserve"> the assigned AI-Driven Urban Flood Monitoring and Risk Assessment Platform problem statement from a software architecture perspective. It identifies the requirements and quality attributes that most strongly influence architectural choice, selects and justifies a hybrid Microservices, Event-Driven, and Layered architecture, presents a full architecture diagram, explains each component and how the system behaves end to end, evaluates the design against six key quality attributes, and closes with a j</w:t>
      </w:r>
      <w:r>
        <w:t>ustification of the trade-offs made and how the design supports future growth.</w:t>
      </w:r>
    </w:p>
    <w:p w14:paraId="0C3894F3" w14:textId="77777777" w:rsidR="008E7599" w:rsidRDefault="0092784B">
      <w:pPr>
        <w:pStyle w:val="Heading1"/>
      </w:pPr>
      <w:r>
        <w:t>1. Analysis of System Requirements</w:t>
      </w:r>
    </w:p>
    <w:p w14:paraId="71B6D34A" w14:textId="77777777" w:rsidR="008E7599" w:rsidRDefault="0092784B">
      <w:pPr>
        <w:pStyle w:val="Heading2"/>
      </w:pPr>
      <w:r>
        <w:t>1.1 System Objectives</w:t>
      </w:r>
    </w:p>
    <w:p w14:paraId="0DD4B3C0" w14:textId="77777777" w:rsidR="008E7599" w:rsidRDefault="0092784B">
      <w:pPr>
        <w:spacing w:after="160" w:line="276" w:lineRule="auto"/>
      </w:pPr>
      <w:r>
        <w:t>The assigned scenario requires a platform that helps municipal and disaster management authorities move from delayed, manual flood response to proactive, data-driven flood risk management. The system objectives that most directly shape the architecture are:</w:t>
      </w:r>
    </w:p>
    <w:p w14:paraId="34007596" w14:textId="77777777" w:rsidR="008E7599" w:rsidRDefault="0092784B">
      <w:pPr>
        <w:spacing w:after="80" w:line="276" w:lineRule="auto"/>
        <w:ind w:left="480" w:hanging="240"/>
      </w:pPr>
      <w:r>
        <w:t>1. Continuously monitor rainfall and water levels via IoT sensors.</w:t>
      </w:r>
    </w:p>
    <w:p w14:paraId="10ABD51C" w14:textId="77777777" w:rsidR="008E7599" w:rsidRDefault="0092784B">
      <w:pPr>
        <w:spacing w:after="80" w:line="276" w:lineRule="auto"/>
        <w:ind w:left="480" w:hanging="240"/>
      </w:pPr>
      <w:r>
        <w:t>2. Predict flood-prone areas using AI models fed by live and historical data.</w:t>
      </w:r>
    </w:p>
    <w:p w14:paraId="2B1B4FF1" w14:textId="77777777" w:rsidR="008E7599" w:rsidRDefault="0092784B">
      <w:pPr>
        <w:spacing w:after="80" w:line="276" w:lineRule="auto"/>
        <w:ind w:left="480" w:hanging="240"/>
      </w:pPr>
      <w:r>
        <w:t>3. Visualize flood risk on GIS maps for authorities and citizens.</w:t>
      </w:r>
    </w:p>
    <w:p w14:paraId="51D68FF0" w14:textId="77777777" w:rsidR="008E7599" w:rsidRDefault="0092784B">
      <w:pPr>
        <w:spacing w:after="80" w:line="276" w:lineRule="auto"/>
        <w:ind w:left="480" w:hanging="240"/>
      </w:pPr>
      <w:r>
        <w:t>4. Generate and disseminate early warning alerts automatically.</w:t>
      </w:r>
    </w:p>
    <w:p w14:paraId="2F5CDDA7" w14:textId="77777777" w:rsidR="008E7599" w:rsidRDefault="0092784B">
      <w:pPr>
        <w:spacing w:after="80" w:line="276" w:lineRule="auto"/>
        <w:ind w:left="480" w:hanging="240"/>
      </w:pPr>
      <w:r>
        <w:t>5. Support emergency response planning and resource allocation.</w:t>
      </w:r>
    </w:p>
    <w:p w14:paraId="18B025FD" w14:textId="77777777" w:rsidR="008E7599" w:rsidRDefault="0092784B">
      <w:pPr>
        <w:spacing w:after="80" w:line="276" w:lineRule="auto"/>
        <w:ind w:left="480" w:hanging="240"/>
      </w:pPr>
      <w:r>
        <w:t>6. Provide real-time analytics dashboards and historical reporting.</w:t>
      </w:r>
    </w:p>
    <w:p w14:paraId="38AE17FA" w14:textId="77777777" w:rsidR="008E7599" w:rsidRDefault="0092784B">
      <w:pPr>
        <w:pStyle w:val="Heading2"/>
      </w:pPr>
      <w:r>
        <w:t>1.2 Requirements That Influence the Architecture</w:t>
      </w:r>
    </w:p>
    <w:p w14:paraId="09DAAD16" w14:textId="77777777" w:rsidR="008E7599" w:rsidRDefault="0092784B">
      <w:pPr>
        <w:spacing w:after="160" w:line="276" w:lineRule="auto"/>
      </w:pPr>
      <w:r>
        <w:t>Beyond individual functional requirements, several characteristics of the problem have a direct bearing on architectural style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8E7599" w14:paraId="048391C2" w14:textId="77777777">
        <w:tblPrEx>
          <w:tblCellMar>
            <w:top w:w="0" w:type="dxa"/>
            <w:bottom w:w="0" w:type="dxa"/>
          </w:tblCellMar>
        </w:tblPrEx>
        <w:trPr>
          <w:tblHeader/>
        </w:trPr>
        <w:tc>
          <w:tcPr>
            <w:tcW w:w="3600" w:type="dxa"/>
            <w:shd w:val="clear" w:color="auto" w:fill="1F3B57"/>
            <w:tcMar>
              <w:top w:w="80" w:type="dxa"/>
              <w:left w:w="100" w:type="dxa"/>
              <w:bottom w:w="80" w:type="dxa"/>
              <w:right w:w="100" w:type="dxa"/>
            </w:tcMar>
            <w:vAlign w:val="center"/>
          </w:tcPr>
          <w:p w14:paraId="252EE19C" w14:textId="77777777" w:rsidR="008E7599" w:rsidRDefault="0092784B">
            <w:r>
              <w:rPr>
                <w:b/>
                <w:bCs/>
                <w:color w:val="FFFFFF"/>
                <w:sz w:val="19"/>
                <w:szCs w:val="19"/>
              </w:rPr>
              <w:t>Requirement Characteristic</w:t>
            </w:r>
          </w:p>
        </w:tc>
        <w:tc>
          <w:tcPr>
            <w:tcW w:w="5426" w:type="dxa"/>
            <w:shd w:val="clear" w:color="auto" w:fill="1F3B57"/>
            <w:tcMar>
              <w:top w:w="80" w:type="dxa"/>
              <w:left w:w="100" w:type="dxa"/>
              <w:bottom w:w="80" w:type="dxa"/>
              <w:right w:w="100" w:type="dxa"/>
            </w:tcMar>
            <w:vAlign w:val="center"/>
          </w:tcPr>
          <w:p w14:paraId="1291F57E" w14:textId="77777777" w:rsidR="008E7599" w:rsidRDefault="0092784B">
            <w:r>
              <w:rPr>
                <w:b/>
                <w:bCs/>
                <w:color w:val="FFFFFF"/>
                <w:sz w:val="19"/>
                <w:szCs w:val="19"/>
              </w:rPr>
              <w:t>Architectural Implication</w:t>
            </w:r>
          </w:p>
        </w:tc>
      </w:tr>
      <w:tr w:rsidR="008E7599" w14:paraId="4AFE5EAF" w14:textId="77777777">
        <w:tblPrEx>
          <w:tblCellMar>
            <w:top w:w="0" w:type="dxa"/>
            <w:bottom w:w="0" w:type="dxa"/>
          </w:tblCellMar>
        </w:tblPrEx>
        <w:tc>
          <w:tcPr>
            <w:tcW w:w="3600" w:type="dxa"/>
            <w:tcMar>
              <w:top w:w="80" w:type="dxa"/>
              <w:left w:w="100" w:type="dxa"/>
              <w:bottom w:w="80" w:type="dxa"/>
              <w:right w:w="100" w:type="dxa"/>
            </w:tcMar>
            <w:vAlign w:val="center"/>
          </w:tcPr>
          <w:p w14:paraId="467B6EAE" w14:textId="77777777" w:rsidR="008E7599" w:rsidRDefault="0092784B">
            <w:r>
              <w:rPr>
                <w:color w:val="000000"/>
                <w:sz w:val="19"/>
                <w:szCs w:val="19"/>
              </w:rPr>
              <w:t>Continuous IoT sensor ingestion (rainfall, water level) at scale</w:t>
            </w:r>
          </w:p>
        </w:tc>
        <w:tc>
          <w:tcPr>
            <w:tcW w:w="5426" w:type="dxa"/>
            <w:tcMar>
              <w:top w:w="80" w:type="dxa"/>
              <w:left w:w="100" w:type="dxa"/>
              <w:bottom w:w="80" w:type="dxa"/>
              <w:right w:w="100" w:type="dxa"/>
            </w:tcMar>
            <w:vAlign w:val="center"/>
          </w:tcPr>
          <w:p w14:paraId="0851F3B0" w14:textId="77777777" w:rsidR="008E7599" w:rsidRDefault="0092784B">
            <w:r>
              <w:rPr>
                <w:color w:val="000000"/>
                <w:sz w:val="19"/>
                <w:szCs w:val="19"/>
              </w:rPr>
              <w:t>Requires an architecture that supports high-throughput, asynchronous data intake decoupled from downstream processing.</w:t>
            </w:r>
          </w:p>
        </w:tc>
      </w:tr>
      <w:tr w:rsidR="008E7599" w14:paraId="3D23AB3B" w14:textId="77777777">
        <w:tblPrEx>
          <w:tblCellMar>
            <w:top w:w="0" w:type="dxa"/>
            <w:bottom w:w="0" w:type="dxa"/>
          </w:tblCellMar>
        </w:tblPrEx>
        <w:tc>
          <w:tcPr>
            <w:tcW w:w="3600" w:type="dxa"/>
            <w:shd w:val="clear" w:color="auto" w:fill="DCE9F2"/>
            <w:tcMar>
              <w:top w:w="80" w:type="dxa"/>
              <w:left w:w="100" w:type="dxa"/>
              <w:bottom w:w="80" w:type="dxa"/>
              <w:right w:w="100" w:type="dxa"/>
            </w:tcMar>
            <w:vAlign w:val="center"/>
          </w:tcPr>
          <w:p w14:paraId="1B833ED0" w14:textId="77777777" w:rsidR="008E7599" w:rsidRDefault="0092784B">
            <w:r>
              <w:rPr>
                <w:color w:val="000000"/>
                <w:sz w:val="19"/>
                <w:szCs w:val="19"/>
              </w:rPr>
              <w:t>AI-based flood prediction updated as new data arrives</w:t>
            </w:r>
          </w:p>
        </w:tc>
        <w:tc>
          <w:tcPr>
            <w:tcW w:w="5426" w:type="dxa"/>
            <w:shd w:val="clear" w:color="auto" w:fill="DCE9F2"/>
            <w:tcMar>
              <w:top w:w="80" w:type="dxa"/>
              <w:left w:w="100" w:type="dxa"/>
              <w:bottom w:w="80" w:type="dxa"/>
              <w:right w:w="100" w:type="dxa"/>
            </w:tcMar>
            <w:vAlign w:val="center"/>
          </w:tcPr>
          <w:p w14:paraId="150D5FDF" w14:textId="77777777" w:rsidR="008E7599" w:rsidRDefault="0092784B">
            <w:r>
              <w:rPr>
                <w:color w:val="000000"/>
                <w:sz w:val="19"/>
                <w:szCs w:val="19"/>
              </w:rPr>
              <w:t>Requires an independently deployable, scalable prediction component that can be updated/retrained without redeploying the whole system.</w:t>
            </w:r>
          </w:p>
        </w:tc>
      </w:tr>
      <w:tr w:rsidR="008E7599" w14:paraId="00D0C568" w14:textId="77777777">
        <w:tblPrEx>
          <w:tblCellMar>
            <w:top w:w="0" w:type="dxa"/>
            <w:bottom w:w="0" w:type="dxa"/>
          </w:tblCellMar>
        </w:tblPrEx>
        <w:tc>
          <w:tcPr>
            <w:tcW w:w="3600" w:type="dxa"/>
            <w:tcMar>
              <w:top w:w="80" w:type="dxa"/>
              <w:left w:w="100" w:type="dxa"/>
              <w:bottom w:w="80" w:type="dxa"/>
              <w:right w:w="100" w:type="dxa"/>
            </w:tcMar>
            <w:vAlign w:val="center"/>
          </w:tcPr>
          <w:p w14:paraId="1C6CB946" w14:textId="77777777" w:rsidR="008E7599" w:rsidRDefault="0092784B">
            <w:r>
              <w:rPr>
                <w:color w:val="000000"/>
                <w:sz w:val="19"/>
                <w:szCs w:val="19"/>
              </w:rPr>
              <w:t>GIS visualization and multi-role dashboards</w:t>
            </w:r>
          </w:p>
        </w:tc>
        <w:tc>
          <w:tcPr>
            <w:tcW w:w="5426" w:type="dxa"/>
            <w:tcMar>
              <w:top w:w="80" w:type="dxa"/>
              <w:left w:w="100" w:type="dxa"/>
              <w:bottom w:w="80" w:type="dxa"/>
              <w:right w:w="100" w:type="dxa"/>
            </w:tcMar>
            <w:vAlign w:val="center"/>
          </w:tcPr>
          <w:p w14:paraId="120C66CF" w14:textId="77777777" w:rsidR="008E7599" w:rsidRDefault="0092784B">
            <w:r>
              <w:rPr>
                <w:color w:val="000000"/>
                <w:sz w:val="19"/>
                <w:szCs w:val="19"/>
              </w:rPr>
              <w:t>Requires a clear separation between presentation and business logic, with well-defined APIs.</w:t>
            </w:r>
          </w:p>
        </w:tc>
      </w:tr>
      <w:tr w:rsidR="008E7599" w14:paraId="19FDFD00" w14:textId="77777777">
        <w:tblPrEx>
          <w:tblCellMar>
            <w:top w:w="0" w:type="dxa"/>
            <w:bottom w:w="0" w:type="dxa"/>
          </w:tblCellMar>
        </w:tblPrEx>
        <w:tc>
          <w:tcPr>
            <w:tcW w:w="3600" w:type="dxa"/>
            <w:shd w:val="clear" w:color="auto" w:fill="DCE9F2"/>
            <w:tcMar>
              <w:top w:w="80" w:type="dxa"/>
              <w:left w:w="100" w:type="dxa"/>
              <w:bottom w:w="80" w:type="dxa"/>
              <w:right w:w="100" w:type="dxa"/>
            </w:tcMar>
            <w:vAlign w:val="center"/>
          </w:tcPr>
          <w:p w14:paraId="6431CEB7" w14:textId="77777777" w:rsidR="008E7599" w:rsidRDefault="0092784B">
            <w:r>
              <w:rPr>
                <w:color w:val="000000"/>
                <w:sz w:val="19"/>
                <w:szCs w:val="19"/>
              </w:rPr>
              <w:t>Multi-channel, near-real-time alerting</w:t>
            </w:r>
          </w:p>
        </w:tc>
        <w:tc>
          <w:tcPr>
            <w:tcW w:w="5426" w:type="dxa"/>
            <w:shd w:val="clear" w:color="auto" w:fill="DCE9F2"/>
            <w:tcMar>
              <w:top w:w="80" w:type="dxa"/>
              <w:left w:w="100" w:type="dxa"/>
              <w:bottom w:w="80" w:type="dxa"/>
              <w:right w:w="100" w:type="dxa"/>
            </w:tcMar>
            <w:vAlign w:val="center"/>
          </w:tcPr>
          <w:p w14:paraId="65D43B90" w14:textId="77777777" w:rsidR="008E7599" w:rsidRDefault="0092784B">
            <w:r>
              <w:rPr>
                <w:color w:val="000000"/>
                <w:sz w:val="19"/>
                <w:szCs w:val="19"/>
              </w:rPr>
              <w:t>Requires event-driven communication so alerts are triggered reactively rather than through polling.</w:t>
            </w:r>
          </w:p>
        </w:tc>
      </w:tr>
      <w:tr w:rsidR="008E7599" w14:paraId="41BF2B8A" w14:textId="77777777">
        <w:tblPrEx>
          <w:tblCellMar>
            <w:top w:w="0" w:type="dxa"/>
            <w:bottom w:w="0" w:type="dxa"/>
          </w:tblCellMar>
        </w:tblPrEx>
        <w:tc>
          <w:tcPr>
            <w:tcW w:w="3600" w:type="dxa"/>
            <w:tcMar>
              <w:top w:w="80" w:type="dxa"/>
              <w:left w:w="100" w:type="dxa"/>
              <w:bottom w:w="80" w:type="dxa"/>
              <w:right w:w="100" w:type="dxa"/>
            </w:tcMar>
            <w:vAlign w:val="center"/>
          </w:tcPr>
          <w:p w14:paraId="3FDF9BE0" w14:textId="77777777" w:rsidR="008E7599" w:rsidRDefault="0092784B">
            <w:r>
              <w:rPr>
                <w:color w:val="000000"/>
                <w:sz w:val="19"/>
                <w:szCs w:val="19"/>
              </w:rPr>
              <w:t>Emergency response coordination across departments</w:t>
            </w:r>
          </w:p>
        </w:tc>
        <w:tc>
          <w:tcPr>
            <w:tcW w:w="5426" w:type="dxa"/>
            <w:tcMar>
              <w:top w:w="80" w:type="dxa"/>
              <w:left w:w="100" w:type="dxa"/>
              <w:bottom w:w="80" w:type="dxa"/>
              <w:right w:w="100" w:type="dxa"/>
            </w:tcMar>
            <w:vAlign w:val="center"/>
          </w:tcPr>
          <w:p w14:paraId="006BC708" w14:textId="77777777" w:rsidR="008E7599" w:rsidRDefault="0092784B">
            <w:r>
              <w:rPr>
                <w:color w:val="000000"/>
                <w:sz w:val="19"/>
                <w:szCs w:val="19"/>
              </w:rPr>
              <w:t>Requires services to be independently maintainable by different teams/departments without tight coupling.</w:t>
            </w:r>
          </w:p>
        </w:tc>
      </w:tr>
      <w:tr w:rsidR="008E7599" w14:paraId="49BB1EE9" w14:textId="77777777">
        <w:tblPrEx>
          <w:tblCellMar>
            <w:top w:w="0" w:type="dxa"/>
            <w:bottom w:w="0" w:type="dxa"/>
          </w:tblCellMar>
        </w:tblPrEx>
        <w:tc>
          <w:tcPr>
            <w:tcW w:w="3600" w:type="dxa"/>
            <w:shd w:val="clear" w:color="auto" w:fill="DCE9F2"/>
            <w:tcMar>
              <w:top w:w="80" w:type="dxa"/>
              <w:left w:w="100" w:type="dxa"/>
              <w:bottom w:w="80" w:type="dxa"/>
              <w:right w:w="100" w:type="dxa"/>
            </w:tcMar>
            <w:vAlign w:val="center"/>
          </w:tcPr>
          <w:p w14:paraId="5DF6185C" w14:textId="77777777" w:rsidR="008E7599" w:rsidRDefault="0092784B">
            <w:r>
              <w:rPr>
                <w:color w:val="000000"/>
                <w:sz w:val="19"/>
                <w:szCs w:val="19"/>
              </w:rPr>
              <w:t>Role-based access for admins, inspectors, citizens, system admins</w:t>
            </w:r>
          </w:p>
        </w:tc>
        <w:tc>
          <w:tcPr>
            <w:tcW w:w="5426" w:type="dxa"/>
            <w:shd w:val="clear" w:color="auto" w:fill="DCE9F2"/>
            <w:tcMar>
              <w:top w:w="80" w:type="dxa"/>
              <w:left w:w="100" w:type="dxa"/>
              <w:bottom w:w="80" w:type="dxa"/>
              <w:right w:w="100" w:type="dxa"/>
            </w:tcMar>
            <w:vAlign w:val="center"/>
          </w:tcPr>
          <w:p w14:paraId="451174D0" w14:textId="77777777" w:rsidR="008E7599" w:rsidRDefault="0092784B">
            <w:r>
              <w:rPr>
                <w:color w:val="000000"/>
                <w:sz w:val="19"/>
                <w:szCs w:val="19"/>
              </w:rPr>
              <w:t>Requires centralized authentication/authorization enforced consistently across all entry points.</w:t>
            </w:r>
          </w:p>
        </w:tc>
      </w:tr>
    </w:tbl>
    <w:p w14:paraId="71043225" w14:textId="77777777" w:rsidR="005205E8" w:rsidRDefault="005205E8">
      <w:pPr>
        <w:pStyle w:val="Heading2"/>
      </w:pPr>
    </w:p>
    <w:p w14:paraId="2A9DB832" w14:textId="603F21E5" w:rsidR="008E7599" w:rsidRDefault="0092784B">
      <w:pPr>
        <w:pStyle w:val="Heading2"/>
      </w:pPr>
      <w:r>
        <w:lastRenderedPageBreak/>
        <w:t>1.3 Key Quality Attributes</w:t>
      </w:r>
    </w:p>
    <w:p w14:paraId="7FB0310C" w14:textId="77777777" w:rsidR="008E7599" w:rsidRDefault="0092784B">
      <w:pPr>
        <w:spacing w:after="160" w:line="276" w:lineRule="auto"/>
      </w:pPr>
      <w:r>
        <w:t>The following non-functional quality attributes were identified as most significant for this system and are used later to evaluate the proposed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E7599" w14:paraId="451E5675" w14:textId="77777777">
        <w:tblPrEx>
          <w:tblCellMar>
            <w:top w:w="0" w:type="dxa"/>
            <w:bottom w:w="0" w:type="dxa"/>
          </w:tblCellMar>
        </w:tblPrEx>
        <w:trPr>
          <w:tblHeader/>
        </w:trPr>
        <w:tc>
          <w:tcPr>
            <w:tcW w:w="2200" w:type="dxa"/>
            <w:shd w:val="clear" w:color="auto" w:fill="1F3B57"/>
            <w:tcMar>
              <w:top w:w="80" w:type="dxa"/>
              <w:left w:w="100" w:type="dxa"/>
              <w:bottom w:w="80" w:type="dxa"/>
              <w:right w:w="100" w:type="dxa"/>
            </w:tcMar>
            <w:vAlign w:val="center"/>
          </w:tcPr>
          <w:p w14:paraId="2556A63A" w14:textId="77777777" w:rsidR="008E7599" w:rsidRDefault="0092784B">
            <w:r>
              <w:rPr>
                <w:b/>
                <w:bCs/>
                <w:color w:val="FFFFFF"/>
                <w:sz w:val="19"/>
                <w:szCs w:val="19"/>
              </w:rPr>
              <w:t>Quality Attribute</w:t>
            </w:r>
          </w:p>
        </w:tc>
        <w:tc>
          <w:tcPr>
            <w:tcW w:w="6826" w:type="dxa"/>
            <w:shd w:val="clear" w:color="auto" w:fill="1F3B57"/>
            <w:tcMar>
              <w:top w:w="80" w:type="dxa"/>
              <w:left w:w="100" w:type="dxa"/>
              <w:bottom w:w="80" w:type="dxa"/>
              <w:right w:w="100" w:type="dxa"/>
            </w:tcMar>
            <w:vAlign w:val="center"/>
          </w:tcPr>
          <w:p w14:paraId="0833C522" w14:textId="77777777" w:rsidR="008E7599" w:rsidRDefault="0092784B">
            <w:r>
              <w:rPr>
                <w:b/>
                <w:bCs/>
                <w:color w:val="FFFFFF"/>
                <w:sz w:val="19"/>
                <w:szCs w:val="19"/>
              </w:rPr>
              <w:t>Why It Matters Here</w:t>
            </w:r>
          </w:p>
        </w:tc>
      </w:tr>
      <w:tr w:rsidR="008E7599" w14:paraId="42B00A81" w14:textId="77777777">
        <w:tblPrEx>
          <w:tblCellMar>
            <w:top w:w="0" w:type="dxa"/>
            <w:bottom w:w="0" w:type="dxa"/>
          </w:tblCellMar>
        </w:tblPrEx>
        <w:tc>
          <w:tcPr>
            <w:tcW w:w="2200" w:type="dxa"/>
            <w:tcMar>
              <w:top w:w="80" w:type="dxa"/>
              <w:left w:w="100" w:type="dxa"/>
              <w:bottom w:w="80" w:type="dxa"/>
              <w:right w:w="100" w:type="dxa"/>
            </w:tcMar>
            <w:vAlign w:val="center"/>
          </w:tcPr>
          <w:p w14:paraId="37E7ADAE" w14:textId="77777777" w:rsidR="008E7599" w:rsidRDefault="0092784B">
            <w:r>
              <w:rPr>
                <w:color w:val="000000"/>
                <w:sz w:val="19"/>
                <w:szCs w:val="19"/>
              </w:rPr>
              <w:t>Scalability</w:t>
            </w:r>
          </w:p>
        </w:tc>
        <w:tc>
          <w:tcPr>
            <w:tcW w:w="6826" w:type="dxa"/>
            <w:tcMar>
              <w:top w:w="80" w:type="dxa"/>
              <w:left w:w="100" w:type="dxa"/>
              <w:bottom w:w="80" w:type="dxa"/>
              <w:right w:w="100" w:type="dxa"/>
            </w:tcMar>
            <w:vAlign w:val="center"/>
          </w:tcPr>
          <w:p w14:paraId="4DFECA9F" w14:textId="77777777" w:rsidR="008E7599" w:rsidRDefault="0092784B">
            <w:r>
              <w:rPr>
                <w:color w:val="000000"/>
                <w:sz w:val="19"/>
                <w:szCs w:val="19"/>
              </w:rPr>
              <w:t>Sensor volume and user load grow as coverage expands from a pilot ward to city-wide deployment; components must scale independently (e.g., ingestion scales differently from reporting).</w:t>
            </w:r>
          </w:p>
        </w:tc>
      </w:tr>
      <w:tr w:rsidR="008E7599" w14:paraId="63768BE5" w14:textId="77777777">
        <w:tblPrEx>
          <w:tblCellMar>
            <w:top w:w="0" w:type="dxa"/>
            <w:bottom w:w="0" w:type="dxa"/>
          </w:tblCellMar>
        </w:tblPrEx>
        <w:tc>
          <w:tcPr>
            <w:tcW w:w="2200" w:type="dxa"/>
            <w:shd w:val="clear" w:color="auto" w:fill="DCE9F2"/>
            <w:tcMar>
              <w:top w:w="80" w:type="dxa"/>
              <w:left w:w="100" w:type="dxa"/>
              <w:bottom w:w="80" w:type="dxa"/>
              <w:right w:w="100" w:type="dxa"/>
            </w:tcMar>
            <w:vAlign w:val="center"/>
          </w:tcPr>
          <w:p w14:paraId="768FE169" w14:textId="77777777" w:rsidR="008E7599" w:rsidRDefault="0092784B">
            <w:r>
              <w:rPr>
                <w:color w:val="000000"/>
                <w:sz w:val="19"/>
                <w:szCs w:val="19"/>
              </w:rPr>
              <w:t>Reliability</w:t>
            </w:r>
          </w:p>
        </w:tc>
        <w:tc>
          <w:tcPr>
            <w:tcW w:w="6826" w:type="dxa"/>
            <w:shd w:val="clear" w:color="auto" w:fill="DCE9F2"/>
            <w:tcMar>
              <w:top w:w="80" w:type="dxa"/>
              <w:left w:w="100" w:type="dxa"/>
              <w:bottom w:w="80" w:type="dxa"/>
              <w:right w:w="100" w:type="dxa"/>
            </w:tcMar>
            <w:vAlign w:val="center"/>
          </w:tcPr>
          <w:p w14:paraId="08C75E3A" w14:textId="77777777" w:rsidR="008E7599" w:rsidRDefault="0092784B">
            <w:r>
              <w:rPr>
                <w:color w:val="000000"/>
                <w:sz w:val="19"/>
                <w:szCs w:val="19"/>
              </w:rPr>
              <w:t>The platform is safety-critical during monsoon events; prediction and alerting must keep functioning even if a non-critical component (e.g., reporting) is degraded.</w:t>
            </w:r>
          </w:p>
        </w:tc>
      </w:tr>
      <w:tr w:rsidR="008E7599" w14:paraId="607CF3FC" w14:textId="77777777">
        <w:tblPrEx>
          <w:tblCellMar>
            <w:top w:w="0" w:type="dxa"/>
            <w:bottom w:w="0" w:type="dxa"/>
          </w:tblCellMar>
        </w:tblPrEx>
        <w:tc>
          <w:tcPr>
            <w:tcW w:w="2200" w:type="dxa"/>
            <w:tcMar>
              <w:top w:w="80" w:type="dxa"/>
              <w:left w:w="100" w:type="dxa"/>
              <w:bottom w:w="80" w:type="dxa"/>
              <w:right w:w="100" w:type="dxa"/>
            </w:tcMar>
            <w:vAlign w:val="center"/>
          </w:tcPr>
          <w:p w14:paraId="55E1AC34" w14:textId="77777777" w:rsidR="008E7599" w:rsidRDefault="0092784B">
            <w:r>
              <w:rPr>
                <w:color w:val="000000"/>
                <w:sz w:val="19"/>
                <w:szCs w:val="19"/>
              </w:rPr>
              <w:t>Availability</w:t>
            </w:r>
          </w:p>
        </w:tc>
        <w:tc>
          <w:tcPr>
            <w:tcW w:w="6826" w:type="dxa"/>
            <w:tcMar>
              <w:top w:w="80" w:type="dxa"/>
              <w:left w:w="100" w:type="dxa"/>
              <w:bottom w:w="80" w:type="dxa"/>
              <w:right w:w="100" w:type="dxa"/>
            </w:tcMar>
            <w:vAlign w:val="center"/>
          </w:tcPr>
          <w:p w14:paraId="4D9822D4" w14:textId="77777777" w:rsidR="008E7599" w:rsidRDefault="0092784B">
            <w:r>
              <w:rPr>
                <w:color w:val="000000"/>
                <w:sz w:val="19"/>
                <w:szCs w:val="19"/>
              </w:rPr>
              <w:t>Alerting and dashboard services must remain available 24×7 during flood season, with minimal downtime for updates.</w:t>
            </w:r>
          </w:p>
        </w:tc>
      </w:tr>
      <w:tr w:rsidR="008E7599" w14:paraId="6529D2B2" w14:textId="77777777">
        <w:tblPrEx>
          <w:tblCellMar>
            <w:top w:w="0" w:type="dxa"/>
            <w:bottom w:w="0" w:type="dxa"/>
          </w:tblCellMar>
        </w:tblPrEx>
        <w:tc>
          <w:tcPr>
            <w:tcW w:w="2200" w:type="dxa"/>
            <w:shd w:val="clear" w:color="auto" w:fill="DCE9F2"/>
            <w:tcMar>
              <w:top w:w="80" w:type="dxa"/>
              <w:left w:w="100" w:type="dxa"/>
              <w:bottom w:w="80" w:type="dxa"/>
              <w:right w:w="100" w:type="dxa"/>
            </w:tcMar>
            <w:vAlign w:val="center"/>
          </w:tcPr>
          <w:p w14:paraId="34A8E3A3" w14:textId="77777777" w:rsidR="008E7599" w:rsidRDefault="0092784B">
            <w:r>
              <w:rPr>
                <w:color w:val="000000"/>
                <w:sz w:val="19"/>
                <w:szCs w:val="19"/>
              </w:rPr>
              <w:t>Performance</w:t>
            </w:r>
          </w:p>
        </w:tc>
        <w:tc>
          <w:tcPr>
            <w:tcW w:w="6826" w:type="dxa"/>
            <w:shd w:val="clear" w:color="auto" w:fill="DCE9F2"/>
            <w:tcMar>
              <w:top w:w="80" w:type="dxa"/>
              <w:left w:w="100" w:type="dxa"/>
              <w:bottom w:w="80" w:type="dxa"/>
              <w:right w:w="100" w:type="dxa"/>
            </w:tcMar>
            <w:vAlign w:val="center"/>
          </w:tcPr>
          <w:p w14:paraId="4E31BCEE" w14:textId="77777777" w:rsidR="008E7599" w:rsidRDefault="0092784B">
            <w:r>
              <w:rPr>
                <w:color w:val="000000"/>
                <w:sz w:val="19"/>
                <w:szCs w:val="19"/>
              </w:rPr>
              <w:t>Sensor-to-alert latency must be low; risk classification should refresh within minutes of new data arriving.</w:t>
            </w:r>
          </w:p>
        </w:tc>
      </w:tr>
      <w:tr w:rsidR="008E7599" w14:paraId="2FBB7B98" w14:textId="77777777">
        <w:tblPrEx>
          <w:tblCellMar>
            <w:top w:w="0" w:type="dxa"/>
            <w:bottom w:w="0" w:type="dxa"/>
          </w:tblCellMar>
        </w:tblPrEx>
        <w:tc>
          <w:tcPr>
            <w:tcW w:w="2200" w:type="dxa"/>
            <w:tcMar>
              <w:top w:w="80" w:type="dxa"/>
              <w:left w:w="100" w:type="dxa"/>
              <w:bottom w:w="80" w:type="dxa"/>
              <w:right w:w="100" w:type="dxa"/>
            </w:tcMar>
            <w:vAlign w:val="center"/>
          </w:tcPr>
          <w:p w14:paraId="1084E782" w14:textId="77777777" w:rsidR="008E7599" w:rsidRDefault="0092784B">
            <w:r>
              <w:rPr>
                <w:color w:val="000000"/>
                <w:sz w:val="19"/>
                <w:szCs w:val="19"/>
              </w:rPr>
              <w:t>Security</w:t>
            </w:r>
          </w:p>
        </w:tc>
        <w:tc>
          <w:tcPr>
            <w:tcW w:w="6826" w:type="dxa"/>
            <w:tcMar>
              <w:top w:w="80" w:type="dxa"/>
              <w:left w:w="100" w:type="dxa"/>
              <w:bottom w:w="80" w:type="dxa"/>
              <w:right w:w="100" w:type="dxa"/>
            </w:tcMar>
            <w:vAlign w:val="center"/>
          </w:tcPr>
          <w:p w14:paraId="55B22ED5" w14:textId="77777777" w:rsidR="008E7599" w:rsidRDefault="0092784B">
            <w:r>
              <w:rPr>
                <w:color w:val="000000"/>
                <w:sz w:val="19"/>
                <w:szCs w:val="19"/>
              </w:rPr>
              <w:t>Citizen and administrative data, plus control over public alerts, must be protected against unauthorized access and tampering.</w:t>
            </w:r>
          </w:p>
        </w:tc>
      </w:tr>
      <w:tr w:rsidR="008E7599" w14:paraId="7CBFF4B4" w14:textId="77777777">
        <w:tblPrEx>
          <w:tblCellMar>
            <w:top w:w="0" w:type="dxa"/>
            <w:bottom w:w="0" w:type="dxa"/>
          </w:tblCellMar>
        </w:tblPrEx>
        <w:tc>
          <w:tcPr>
            <w:tcW w:w="2200" w:type="dxa"/>
            <w:shd w:val="clear" w:color="auto" w:fill="DCE9F2"/>
            <w:tcMar>
              <w:top w:w="80" w:type="dxa"/>
              <w:left w:w="100" w:type="dxa"/>
              <w:bottom w:w="80" w:type="dxa"/>
              <w:right w:w="100" w:type="dxa"/>
            </w:tcMar>
            <w:vAlign w:val="center"/>
          </w:tcPr>
          <w:p w14:paraId="4681445E" w14:textId="77777777" w:rsidR="008E7599" w:rsidRDefault="0092784B">
            <w:r>
              <w:rPr>
                <w:color w:val="000000"/>
                <w:sz w:val="19"/>
                <w:szCs w:val="19"/>
              </w:rPr>
              <w:t>Maintainability</w:t>
            </w:r>
          </w:p>
        </w:tc>
        <w:tc>
          <w:tcPr>
            <w:tcW w:w="6826" w:type="dxa"/>
            <w:shd w:val="clear" w:color="auto" w:fill="DCE9F2"/>
            <w:tcMar>
              <w:top w:w="80" w:type="dxa"/>
              <w:left w:w="100" w:type="dxa"/>
              <w:bottom w:w="80" w:type="dxa"/>
              <w:right w:w="100" w:type="dxa"/>
            </w:tcMar>
            <w:vAlign w:val="center"/>
          </w:tcPr>
          <w:p w14:paraId="6828B54B" w14:textId="77777777" w:rsidR="008E7599" w:rsidRDefault="0092784B">
            <w:r>
              <w:rPr>
                <w:color w:val="000000"/>
                <w:sz w:val="19"/>
                <w:szCs w:val="19"/>
              </w:rPr>
              <w:t>The AI model, GIS module, and alerting logic evolve at different rates and are best isolated so each can change independently.</w:t>
            </w:r>
          </w:p>
        </w:tc>
      </w:tr>
    </w:tbl>
    <w:p w14:paraId="6B1BA442" w14:textId="77777777" w:rsidR="008E7599" w:rsidRDefault="0092784B">
      <w:pPr>
        <w:pStyle w:val="Heading2"/>
      </w:pPr>
      <w:r>
        <w:t>1.4 Assumptions Affecting the Architecture</w:t>
      </w:r>
    </w:p>
    <w:p w14:paraId="1E797662" w14:textId="77777777" w:rsidR="008E7599" w:rsidRDefault="0092784B">
      <w:pPr>
        <w:pStyle w:val="ListParagraph"/>
        <w:numPr>
          <w:ilvl w:val="0"/>
          <w:numId w:val="2"/>
        </w:numPr>
        <w:spacing w:after="80" w:line="276" w:lineRule="auto"/>
      </w:pPr>
      <w:r>
        <w:t xml:space="preserve">Reliable network connectivity (cellular or </w:t>
      </w:r>
      <w:proofErr w:type="spellStart"/>
      <w:r>
        <w:t>LoRaWAN</w:t>
      </w:r>
      <w:proofErr w:type="spellEnd"/>
      <w:r>
        <w:t>) is available at sensor installation sites for near-continuous telemetry.</w:t>
      </w:r>
    </w:p>
    <w:p w14:paraId="34BF5190" w14:textId="77777777" w:rsidR="008E7599" w:rsidRDefault="0092784B">
      <w:pPr>
        <w:pStyle w:val="ListParagraph"/>
        <w:numPr>
          <w:ilvl w:val="0"/>
          <w:numId w:val="2"/>
        </w:numPr>
        <w:spacing w:after="80" w:line="276" w:lineRule="auto"/>
      </w:pPr>
      <w:r>
        <w:t>Cloud or on-premises infrastructure is available that can host and independently scale multiple services.</w:t>
      </w:r>
    </w:p>
    <w:p w14:paraId="2AA8D17D" w14:textId="77777777" w:rsidR="008E7599" w:rsidRDefault="0092784B">
      <w:pPr>
        <w:pStyle w:val="ListParagraph"/>
        <w:numPr>
          <w:ilvl w:val="0"/>
          <w:numId w:val="2"/>
        </w:numPr>
        <w:spacing w:after="80" w:line="276" w:lineRule="auto"/>
      </w:pPr>
      <w:r>
        <w:t>A message broker (e.g., Kafka or an MQTT broker) can be operated and maintained by the municipal IT team or a vendor.</w:t>
      </w:r>
    </w:p>
    <w:p w14:paraId="29796986" w14:textId="77777777" w:rsidR="008E7599" w:rsidRDefault="0092784B">
      <w:pPr>
        <w:pStyle w:val="ListParagraph"/>
        <w:numPr>
          <w:ilvl w:val="0"/>
          <w:numId w:val="2"/>
        </w:numPr>
        <w:spacing w:after="80" w:line="276" w:lineRule="auto"/>
      </w:pPr>
      <w:r>
        <w:t>The AI prediction model is developed and periodically retrained by a data science team working independently of the core application team.</w:t>
      </w:r>
    </w:p>
    <w:p w14:paraId="31D20D9A" w14:textId="77777777" w:rsidR="008E7599" w:rsidRDefault="0092784B">
      <w:pPr>
        <w:pStyle w:val="Heading1"/>
      </w:pPr>
      <w:r>
        <w:t>2. Selection of Suitable Software Architecture</w:t>
      </w:r>
    </w:p>
    <w:p w14:paraId="62609134" w14:textId="77777777" w:rsidR="008E7599" w:rsidRDefault="0092784B">
      <w:pPr>
        <w:pStyle w:val="Heading2"/>
      </w:pPr>
      <w:r>
        <w:t>2.1 Selected Architectural Style</w:t>
      </w:r>
    </w:p>
    <w:p w14:paraId="2DAF63F0" w14:textId="77777777" w:rsidR="008E7599" w:rsidRDefault="0092784B">
      <w:pPr>
        <w:spacing w:after="160" w:line="276" w:lineRule="auto"/>
      </w:pPr>
      <w:r>
        <w:t>A hybrid architecture combining Microservices, an Event-Driven backbone, and a Layered internal structure is selected for the AI-Driven Urban Flood Monitoring and Risk Assessment Platform:</w:t>
      </w:r>
    </w:p>
    <w:p w14:paraId="3C99C52E" w14:textId="77777777" w:rsidR="008E7599" w:rsidRDefault="0092784B">
      <w:pPr>
        <w:pStyle w:val="ListParagraph"/>
        <w:numPr>
          <w:ilvl w:val="0"/>
          <w:numId w:val="2"/>
        </w:numPr>
        <w:spacing w:after="80" w:line="276" w:lineRule="auto"/>
      </w:pPr>
      <w:r>
        <w:t>Microservices Architecture — each major capability (sensor ingestion, AI prediction, GIS visualization, alerting, emergency response, reporting, user management) is built and deployed as an independent service.</w:t>
      </w:r>
    </w:p>
    <w:p w14:paraId="722E4B20" w14:textId="77777777" w:rsidR="008E7599" w:rsidRDefault="0092784B">
      <w:pPr>
        <w:pStyle w:val="ListParagraph"/>
        <w:numPr>
          <w:ilvl w:val="0"/>
          <w:numId w:val="2"/>
        </w:numPr>
        <w:spacing w:after="80" w:line="276" w:lineRule="auto"/>
      </w:pPr>
      <w:r>
        <w:t>Event-Driven Architecture (EDA) — a central event bus/message broker (e.g., Kafka or MQTT) carries real-time sensor telemetry and inter-service events, decoupling data producers from consumers.</w:t>
      </w:r>
    </w:p>
    <w:p w14:paraId="75050D86" w14:textId="77777777" w:rsidR="008E7599" w:rsidRDefault="0092784B">
      <w:pPr>
        <w:pStyle w:val="ListParagraph"/>
        <w:numPr>
          <w:ilvl w:val="0"/>
          <w:numId w:val="2"/>
        </w:numPr>
        <w:spacing w:after="80" w:line="276" w:lineRule="auto"/>
      </w:pPr>
      <w:r>
        <w:t xml:space="preserve">Layered structure — a client-facing Presentation Layer, an API Gateway, an Application/Microservices Layer, and a Data Layer are still clearly separated within the overall </w:t>
      </w:r>
      <w:r>
        <w:lastRenderedPageBreak/>
        <w:t>design, giving the system the organizational clarity of a layered approach even though it is not a single monolithic layered application.</w:t>
      </w:r>
    </w:p>
    <w:p w14:paraId="5DE4B41B" w14:textId="77777777" w:rsidR="008E7599" w:rsidRDefault="0092784B">
      <w:pPr>
        <w:pStyle w:val="Heading2"/>
      </w:pPr>
      <w:r>
        <w:t>2.2 Justification</w:t>
      </w:r>
    </w:p>
    <w:p w14:paraId="29DE5557" w14:textId="77777777" w:rsidR="008E7599" w:rsidRDefault="0092784B">
      <w:pPr>
        <w:spacing w:after="160" w:line="276" w:lineRule="auto"/>
      </w:pPr>
      <w:r>
        <w:t>This hybrid style is the most suitable choice for the given problem for the following reasons:</w:t>
      </w:r>
    </w:p>
    <w:p w14:paraId="517CA2CD" w14:textId="77777777" w:rsidR="008E7599" w:rsidRDefault="0092784B">
      <w:pPr>
        <w:pStyle w:val="ListParagraph"/>
        <w:numPr>
          <w:ilvl w:val="0"/>
          <w:numId w:val="2"/>
        </w:numPr>
        <w:spacing w:after="80" w:line="276" w:lineRule="auto"/>
      </w:pPr>
      <w:r>
        <w:t>Continuous, high-volume IoT telemetry naturally fits a publish–subscribe model: sensors publish readings once, and any number of interested services (prediction, drainage monitoring, dashboards) can consume them without the sensor network needing to know who is listening.</w:t>
      </w:r>
    </w:p>
    <w:p w14:paraId="357E7527" w14:textId="77777777" w:rsidR="008E7599" w:rsidRDefault="0092784B">
      <w:pPr>
        <w:pStyle w:val="ListParagraph"/>
        <w:numPr>
          <w:ilvl w:val="0"/>
          <w:numId w:val="2"/>
        </w:numPr>
        <w:spacing w:after="80" w:line="276" w:lineRule="auto"/>
      </w:pPr>
      <w:r>
        <w:t>Flood prediction, GIS visualization, and alerting have different scaling profiles and different rates of change (the AI model is retrained periodically; the GIS layer changes rarely; alerting logic may change often for policy reasons). Microservices allow each to be scaled, deployed, and updated independently.</w:t>
      </w:r>
    </w:p>
    <w:p w14:paraId="4F613B79" w14:textId="77777777" w:rsidR="008E7599" w:rsidRDefault="0092784B">
      <w:pPr>
        <w:pStyle w:val="ListParagraph"/>
        <w:numPr>
          <w:ilvl w:val="0"/>
          <w:numId w:val="2"/>
        </w:numPr>
        <w:spacing w:after="80" w:line="276" w:lineRule="auto"/>
      </w:pPr>
      <w:r>
        <w:t>Safety-critical functionality (alerting) must keep working even if a non-critical service (e.g., historical reporting) is slow or temporarily unavailable — a benefit that a single monolithic application cannot easily provide, since a fault in one module can bring down the whole system.</w:t>
      </w:r>
    </w:p>
    <w:p w14:paraId="603376C8" w14:textId="77777777" w:rsidR="008E7599" w:rsidRDefault="0092784B">
      <w:pPr>
        <w:pStyle w:val="ListParagraph"/>
        <w:numPr>
          <w:ilvl w:val="0"/>
          <w:numId w:val="2"/>
        </w:numPr>
        <w:spacing w:after="80" w:line="276" w:lineRule="auto"/>
      </w:pPr>
      <w:r>
        <w:t>A pure Client-Server or monolithic Layered architecture would couple all modules into one deployable unit, making independent scaling and fault isolation difficult as the platform grows from a pilot ward to city-wide coverage.</w:t>
      </w:r>
    </w:p>
    <w:p w14:paraId="3160D117" w14:textId="77777777" w:rsidR="008E7599" w:rsidRDefault="0092784B">
      <w:pPr>
        <w:pStyle w:val="ListParagraph"/>
        <w:numPr>
          <w:ilvl w:val="0"/>
          <w:numId w:val="2"/>
        </w:numPr>
        <w:spacing w:after="80" w:line="276" w:lineRule="auto"/>
      </w:pPr>
      <w:r>
        <w:t xml:space="preserve">A pure Service-Oriented Architecture (SOA) with a heavyweight enterprise service bus would add unnecessary complexity for this scenario, while Serverless alone would complicate the always-on, low-latency alerting requirement. The selected hybrid combines the strengths of microservices (independent </w:t>
      </w:r>
      <w:proofErr w:type="spellStart"/>
      <w:r>
        <w:t>deployability</w:t>
      </w:r>
      <w:proofErr w:type="spellEnd"/>
      <w:r>
        <w:t>), event-driven communication (real-time decoupling), and layering (clarity of responsibility) while avoiding the drawbacks of any single pure style.</w:t>
      </w:r>
    </w:p>
    <w:p w14:paraId="6A42318D" w14:textId="77777777" w:rsidR="008E7599" w:rsidRDefault="0092784B">
      <w:pPr>
        <w:pStyle w:val="Heading2"/>
      </w:pPr>
      <w:r>
        <w:t>2.3 Deployment View</w:t>
      </w:r>
    </w:p>
    <w:p w14:paraId="0873D208" w14:textId="77777777" w:rsidR="008E7599" w:rsidRDefault="0092784B">
      <w:pPr>
        <w:spacing w:after="160" w:line="276" w:lineRule="auto"/>
      </w:pPr>
      <w:r>
        <w:t>At deployment time, each microservice is packaged as an independent, containerized unit and orchestrated by a container platform (e.g., Kubernetes), which allows each service to be scaled, updated, and restarted independently of the others. The API Gateway and Event Bus are run as managed or clustered infrastructure components shared by all services. The four data stores are deployed as managed database/storage services matched to their access pattern (time-series, spatial, relational, and object storage) r</w:t>
      </w:r>
      <w:r>
        <w:t>ather than as a single shared database, so that a schema change or performance issue in one store does not affect the others. This deployment model directly supports the scalability and availability goals identified in Section 1.3, since capacity can be added to a single overloaded service or store without touching the rest of the platform.</w:t>
      </w:r>
    </w:p>
    <w:p w14:paraId="5E4D2E48" w14:textId="77777777" w:rsidR="008E7599" w:rsidRDefault="0092784B">
      <w:pPr>
        <w:pStyle w:val="Heading1"/>
      </w:pPr>
      <w:r>
        <w:t>3. Software Architecture Diagram</w:t>
      </w:r>
    </w:p>
    <w:p w14:paraId="51F574E5" w14:textId="77777777" w:rsidR="008E7599" w:rsidRDefault="0092784B">
      <w:pPr>
        <w:pStyle w:val="Heading2"/>
      </w:pPr>
      <w:r>
        <w:t>3.1 Architectural Layers Overview</w:t>
      </w:r>
    </w:p>
    <w:p w14:paraId="50924EE1" w14:textId="77777777" w:rsidR="008E7599" w:rsidRDefault="0092784B">
      <w:pPr>
        <w:spacing w:after="160" w:line="276" w:lineRule="auto"/>
      </w:pPr>
      <w:r>
        <w:t>Before examining the diagram, the table below summarizes the purpose of each layer shown in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8E7599" w14:paraId="33C6665A" w14:textId="77777777">
        <w:tblPrEx>
          <w:tblCellMar>
            <w:top w:w="0" w:type="dxa"/>
            <w:bottom w:w="0" w:type="dxa"/>
          </w:tblCellMar>
        </w:tblPrEx>
        <w:trPr>
          <w:tblHeader/>
        </w:trPr>
        <w:tc>
          <w:tcPr>
            <w:tcW w:w="2600" w:type="dxa"/>
            <w:shd w:val="clear" w:color="auto" w:fill="1F3B57"/>
            <w:tcMar>
              <w:top w:w="80" w:type="dxa"/>
              <w:left w:w="100" w:type="dxa"/>
              <w:bottom w:w="80" w:type="dxa"/>
              <w:right w:w="100" w:type="dxa"/>
            </w:tcMar>
            <w:vAlign w:val="center"/>
          </w:tcPr>
          <w:p w14:paraId="17E8F7D7" w14:textId="77777777" w:rsidR="008E7599" w:rsidRDefault="0092784B">
            <w:r>
              <w:rPr>
                <w:b/>
                <w:bCs/>
                <w:color w:val="FFFFFF"/>
                <w:sz w:val="19"/>
                <w:szCs w:val="19"/>
              </w:rPr>
              <w:t>Layer</w:t>
            </w:r>
          </w:p>
        </w:tc>
        <w:tc>
          <w:tcPr>
            <w:tcW w:w="6426" w:type="dxa"/>
            <w:shd w:val="clear" w:color="auto" w:fill="1F3B57"/>
            <w:tcMar>
              <w:top w:w="80" w:type="dxa"/>
              <w:left w:w="100" w:type="dxa"/>
              <w:bottom w:w="80" w:type="dxa"/>
              <w:right w:w="100" w:type="dxa"/>
            </w:tcMar>
            <w:vAlign w:val="center"/>
          </w:tcPr>
          <w:p w14:paraId="5F78AE5F" w14:textId="77777777" w:rsidR="008E7599" w:rsidRDefault="0092784B">
            <w:r>
              <w:rPr>
                <w:b/>
                <w:bCs/>
                <w:color w:val="FFFFFF"/>
                <w:sz w:val="19"/>
                <w:szCs w:val="19"/>
              </w:rPr>
              <w:t>Purpose</w:t>
            </w:r>
          </w:p>
        </w:tc>
      </w:tr>
      <w:tr w:rsidR="008E7599" w14:paraId="6351BFB7" w14:textId="77777777">
        <w:tblPrEx>
          <w:tblCellMar>
            <w:top w:w="0" w:type="dxa"/>
            <w:bottom w:w="0" w:type="dxa"/>
          </w:tblCellMar>
        </w:tblPrEx>
        <w:tc>
          <w:tcPr>
            <w:tcW w:w="2600" w:type="dxa"/>
            <w:tcMar>
              <w:top w:w="80" w:type="dxa"/>
              <w:left w:w="100" w:type="dxa"/>
              <w:bottom w:w="80" w:type="dxa"/>
              <w:right w:w="100" w:type="dxa"/>
            </w:tcMar>
            <w:vAlign w:val="center"/>
          </w:tcPr>
          <w:p w14:paraId="5D515D7D" w14:textId="77777777" w:rsidR="008E7599" w:rsidRDefault="0092784B">
            <w:r>
              <w:rPr>
                <w:color w:val="000000"/>
                <w:sz w:val="19"/>
                <w:szCs w:val="19"/>
              </w:rPr>
              <w:t>Presentation Layer</w:t>
            </w:r>
          </w:p>
        </w:tc>
        <w:tc>
          <w:tcPr>
            <w:tcW w:w="6426" w:type="dxa"/>
            <w:tcMar>
              <w:top w:w="80" w:type="dxa"/>
              <w:left w:w="100" w:type="dxa"/>
              <w:bottom w:w="80" w:type="dxa"/>
              <w:right w:w="100" w:type="dxa"/>
            </w:tcMar>
            <w:vAlign w:val="center"/>
          </w:tcPr>
          <w:p w14:paraId="157C799A" w14:textId="77777777" w:rsidR="008E7599" w:rsidRDefault="0092784B">
            <w:r>
              <w:rPr>
                <w:color w:val="000000"/>
                <w:sz w:val="19"/>
                <w:szCs w:val="19"/>
              </w:rPr>
              <w:t>Client applications through which people interact with the system: an administrator dashboard, a field-inspector mobile app, a citizen web/mobile portal, and an optional public kiosk/display view.</w:t>
            </w:r>
          </w:p>
        </w:tc>
      </w:tr>
      <w:tr w:rsidR="008E7599" w14:paraId="101C12A2" w14:textId="77777777">
        <w:tblPrEx>
          <w:tblCellMar>
            <w:top w:w="0" w:type="dxa"/>
            <w:bottom w:w="0" w:type="dxa"/>
          </w:tblCellMar>
        </w:tblPrEx>
        <w:tc>
          <w:tcPr>
            <w:tcW w:w="2600" w:type="dxa"/>
            <w:shd w:val="clear" w:color="auto" w:fill="DCE9F2"/>
            <w:tcMar>
              <w:top w:w="80" w:type="dxa"/>
              <w:left w:w="100" w:type="dxa"/>
              <w:bottom w:w="80" w:type="dxa"/>
              <w:right w:w="100" w:type="dxa"/>
            </w:tcMar>
            <w:vAlign w:val="center"/>
          </w:tcPr>
          <w:p w14:paraId="5234C737" w14:textId="77777777" w:rsidR="008E7599" w:rsidRDefault="0092784B">
            <w:r>
              <w:rPr>
                <w:color w:val="000000"/>
                <w:sz w:val="19"/>
                <w:szCs w:val="19"/>
              </w:rPr>
              <w:lastRenderedPageBreak/>
              <w:t>API Gateway</w:t>
            </w:r>
          </w:p>
        </w:tc>
        <w:tc>
          <w:tcPr>
            <w:tcW w:w="6426" w:type="dxa"/>
            <w:shd w:val="clear" w:color="auto" w:fill="DCE9F2"/>
            <w:tcMar>
              <w:top w:w="80" w:type="dxa"/>
              <w:left w:w="100" w:type="dxa"/>
              <w:bottom w:w="80" w:type="dxa"/>
              <w:right w:w="100" w:type="dxa"/>
            </w:tcMar>
            <w:vAlign w:val="center"/>
          </w:tcPr>
          <w:p w14:paraId="4DCB6CDC" w14:textId="77777777" w:rsidR="008E7599" w:rsidRDefault="0092784B">
            <w:r>
              <w:rPr>
                <w:color w:val="000000"/>
                <w:sz w:val="19"/>
                <w:szCs w:val="19"/>
              </w:rPr>
              <w:t xml:space="preserve">The </w:t>
            </w:r>
            <w:proofErr w:type="gramStart"/>
            <w:r>
              <w:rPr>
                <w:color w:val="000000"/>
                <w:sz w:val="19"/>
                <w:szCs w:val="19"/>
              </w:rPr>
              <w:t>single entry</w:t>
            </w:r>
            <w:proofErr w:type="gramEnd"/>
            <w:r>
              <w:rPr>
                <w:color w:val="000000"/>
                <w:sz w:val="19"/>
                <w:szCs w:val="19"/>
              </w:rPr>
              <w:t xml:space="preserve"> point that authenticates every request, routes it to the correct backend service, applies rate limiting, and load-balances traffic — shielding clients from the internal service topology.</w:t>
            </w:r>
          </w:p>
        </w:tc>
      </w:tr>
      <w:tr w:rsidR="008E7599" w14:paraId="63933596" w14:textId="77777777">
        <w:tblPrEx>
          <w:tblCellMar>
            <w:top w:w="0" w:type="dxa"/>
            <w:bottom w:w="0" w:type="dxa"/>
          </w:tblCellMar>
        </w:tblPrEx>
        <w:tc>
          <w:tcPr>
            <w:tcW w:w="2600" w:type="dxa"/>
            <w:tcMar>
              <w:top w:w="80" w:type="dxa"/>
              <w:left w:w="100" w:type="dxa"/>
              <w:bottom w:w="80" w:type="dxa"/>
              <w:right w:w="100" w:type="dxa"/>
            </w:tcMar>
            <w:vAlign w:val="center"/>
          </w:tcPr>
          <w:p w14:paraId="20039B1C" w14:textId="77777777" w:rsidR="008E7599" w:rsidRDefault="0092784B">
            <w:r>
              <w:rPr>
                <w:color w:val="000000"/>
                <w:sz w:val="19"/>
                <w:szCs w:val="19"/>
              </w:rPr>
              <w:t>Application / Microservices Layer</w:t>
            </w:r>
          </w:p>
        </w:tc>
        <w:tc>
          <w:tcPr>
            <w:tcW w:w="6426" w:type="dxa"/>
            <w:tcMar>
              <w:top w:w="80" w:type="dxa"/>
              <w:left w:w="100" w:type="dxa"/>
              <w:bottom w:w="80" w:type="dxa"/>
              <w:right w:w="100" w:type="dxa"/>
            </w:tcMar>
            <w:vAlign w:val="center"/>
          </w:tcPr>
          <w:p w14:paraId="456234DF" w14:textId="77777777" w:rsidR="008E7599" w:rsidRDefault="0092784B">
            <w:r>
              <w:rPr>
                <w:color w:val="000000"/>
                <w:sz w:val="19"/>
                <w:szCs w:val="19"/>
              </w:rPr>
              <w:t>Independently deployable services grouped into Core Domain Services (ingestion, prediction, emergency response, user management) and Supporting Services (drainage monitoring, GIS, alerting, reporting), coordinated through the Event Bus.</w:t>
            </w:r>
          </w:p>
        </w:tc>
      </w:tr>
      <w:tr w:rsidR="008E7599" w14:paraId="54529A54" w14:textId="77777777">
        <w:tblPrEx>
          <w:tblCellMar>
            <w:top w:w="0" w:type="dxa"/>
            <w:bottom w:w="0" w:type="dxa"/>
          </w:tblCellMar>
        </w:tblPrEx>
        <w:tc>
          <w:tcPr>
            <w:tcW w:w="2600" w:type="dxa"/>
            <w:shd w:val="clear" w:color="auto" w:fill="DCE9F2"/>
            <w:tcMar>
              <w:top w:w="80" w:type="dxa"/>
              <w:left w:w="100" w:type="dxa"/>
              <w:bottom w:w="80" w:type="dxa"/>
              <w:right w:w="100" w:type="dxa"/>
            </w:tcMar>
            <w:vAlign w:val="center"/>
          </w:tcPr>
          <w:p w14:paraId="217BAEE2" w14:textId="77777777" w:rsidR="008E7599" w:rsidRDefault="0092784B">
            <w:r>
              <w:rPr>
                <w:color w:val="000000"/>
                <w:sz w:val="19"/>
                <w:szCs w:val="19"/>
              </w:rPr>
              <w:t>Event Bus / Message Broker</w:t>
            </w:r>
          </w:p>
        </w:tc>
        <w:tc>
          <w:tcPr>
            <w:tcW w:w="6426" w:type="dxa"/>
            <w:shd w:val="clear" w:color="auto" w:fill="DCE9F2"/>
            <w:tcMar>
              <w:top w:w="80" w:type="dxa"/>
              <w:left w:w="100" w:type="dxa"/>
              <w:bottom w:w="80" w:type="dxa"/>
              <w:right w:w="100" w:type="dxa"/>
            </w:tcMar>
            <w:vAlign w:val="center"/>
          </w:tcPr>
          <w:p w14:paraId="20F0E374" w14:textId="77777777" w:rsidR="008E7599" w:rsidRDefault="0092784B">
            <w:r>
              <w:rPr>
                <w:color w:val="000000"/>
                <w:sz w:val="19"/>
                <w:szCs w:val="19"/>
              </w:rPr>
              <w:t>The asynchronous backbone that carries sensor telemetry and inter-service events, decoupling producers from consumers and absorbing bursts in traffic.</w:t>
            </w:r>
          </w:p>
        </w:tc>
      </w:tr>
      <w:tr w:rsidR="008E7599" w14:paraId="236CBFCB" w14:textId="77777777">
        <w:tblPrEx>
          <w:tblCellMar>
            <w:top w:w="0" w:type="dxa"/>
            <w:bottom w:w="0" w:type="dxa"/>
          </w:tblCellMar>
        </w:tblPrEx>
        <w:tc>
          <w:tcPr>
            <w:tcW w:w="2600" w:type="dxa"/>
            <w:tcMar>
              <w:top w:w="80" w:type="dxa"/>
              <w:left w:w="100" w:type="dxa"/>
              <w:bottom w:w="80" w:type="dxa"/>
              <w:right w:w="100" w:type="dxa"/>
            </w:tcMar>
            <w:vAlign w:val="center"/>
          </w:tcPr>
          <w:p w14:paraId="7FF76366" w14:textId="77777777" w:rsidR="008E7599" w:rsidRDefault="0092784B">
            <w:r>
              <w:rPr>
                <w:color w:val="000000"/>
                <w:sz w:val="19"/>
                <w:szCs w:val="19"/>
              </w:rPr>
              <w:t>Data Layer</w:t>
            </w:r>
          </w:p>
        </w:tc>
        <w:tc>
          <w:tcPr>
            <w:tcW w:w="6426" w:type="dxa"/>
            <w:tcMar>
              <w:top w:w="80" w:type="dxa"/>
              <w:left w:w="100" w:type="dxa"/>
              <w:bottom w:w="80" w:type="dxa"/>
              <w:right w:w="100" w:type="dxa"/>
            </w:tcMar>
            <w:vAlign w:val="center"/>
          </w:tcPr>
          <w:p w14:paraId="50AD4CEB" w14:textId="77777777" w:rsidR="008E7599" w:rsidRDefault="0092784B">
            <w:r>
              <w:rPr>
                <w:color w:val="000000"/>
                <w:sz w:val="19"/>
                <w:szCs w:val="19"/>
              </w:rPr>
              <w:t>Four purpose-fit persistent stores — time-series, GIS spatial, relational, and object storage — each chosen to match the access pattern of the services that use it.</w:t>
            </w:r>
          </w:p>
        </w:tc>
      </w:tr>
      <w:tr w:rsidR="008E7599" w14:paraId="6C0E7FF0" w14:textId="77777777">
        <w:tblPrEx>
          <w:tblCellMar>
            <w:top w:w="0" w:type="dxa"/>
            <w:bottom w:w="0" w:type="dxa"/>
          </w:tblCellMar>
        </w:tblPrEx>
        <w:tc>
          <w:tcPr>
            <w:tcW w:w="2600" w:type="dxa"/>
            <w:shd w:val="clear" w:color="auto" w:fill="DCE9F2"/>
            <w:tcMar>
              <w:top w:w="80" w:type="dxa"/>
              <w:left w:w="100" w:type="dxa"/>
              <w:bottom w:w="80" w:type="dxa"/>
              <w:right w:w="100" w:type="dxa"/>
            </w:tcMar>
            <w:vAlign w:val="center"/>
          </w:tcPr>
          <w:p w14:paraId="1E06A238" w14:textId="77777777" w:rsidR="008E7599" w:rsidRDefault="0092784B">
            <w:r>
              <w:rPr>
                <w:color w:val="000000"/>
                <w:sz w:val="19"/>
                <w:szCs w:val="19"/>
              </w:rPr>
              <w:t>External Systems</w:t>
            </w:r>
          </w:p>
        </w:tc>
        <w:tc>
          <w:tcPr>
            <w:tcW w:w="6426" w:type="dxa"/>
            <w:shd w:val="clear" w:color="auto" w:fill="DCE9F2"/>
            <w:tcMar>
              <w:top w:w="80" w:type="dxa"/>
              <w:left w:w="100" w:type="dxa"/>
              <w:bottom w:w="80" w:type="dxa"/>
              <w:right w:w="100" w:type="dxa"/>
            </w:tcMar>
            <w:vAlign w:val="center"/>
          </w:tcPr>
          <w:p w14:paraId="7F89FF27" w14:textId="77777777" w:rsidR="008E7599" w:rsidRDefault="0092784B">
            <w:r>
              <w:rPr>
                <w:color w:val="000000"/>
                <w:sz w:val="19"/>
                <w:szCs w:val="19"/>
              </w:rPr>
              <w:t>Third-party systems the platform integrates with: the IoT sensor network, the meteorological department's weather forecast API, a GIS mapping service, and the SMS/email/push notification gateway.</w:t>
            </w:r>
          </w:p>
        </w:tc>
      </w:tr>
    </w:tbl>
    <w:p w14:paraId="034F154C" w14:textId="77777777" w:rsidR="008E7599" w:rsidRDefault="0092784B">
      <w:pPr>
        <w:pStyle w:val="Heading2"/>
      </w:pPr>
      <w:r>
        <w:t>3.2 Architecture Diagram</w:t>
      </w:r>
    </w:p>
    <w:p w14:paraId="0BF0C8DF" w14:textId="77777777" w:rsidR="008E7599" w:rsidRDefault="0092784B">
      <w:pPr>
        <w:spacing w:after="160" w:line="276" w:lineRule="auto"/>
      </w:pPr>
      <w:r>
        <w:t>Figure 1 shows the overall proposed architecture: a Presentation Layer of client applications, an API Gateway, a Microservices Layer split into Core Domain Services and Supporting Services around a central Event Bus, a Data Layer of purpose-fit stores, and the external systems the platform integrates with.</w:t>
      </w:r>
    </w:p>
    <w:p w14:paraId="2F56D8B3" w14:textId="77777777" w:rsidR="008E7599" w:rsidRDefault="0092784B">
      <w:pPr>
        <w:spacing w:before="140" w:after="120"/>
        <w:jc w:val="center"/>
      </w:pPr>
      <w:r>
        <w:rPr>
          <w:noProof/>
        </w:rPr>
        <w:drawing>
          <wp:inline distT="0" distB="0" distL="0" distR="0" wp14:anchorId="139F7CAF" wp14:editId="687F04F6">
            <wp:extent cx="6143625"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43625" cy="3619500"/>
                    </a:xfrm>
                    <a:prstGeom prst="rect">
                      <a:avLst/>
                    </a:prstGeom>
                  </pic:spPr>
                </pic:pic>
              </a:graphicData>
            </a:graphic>
          </wp:inline>
        </w:drawing>
      </w:r>
    </w:p>
    <w:p w14:paraId="31C412A7" w14:textId="77777777" w:rsidR="008E7599" w:rsidRDefault="0092784B">
      <w:pPr>
        <w:spacing w:after="160"/>
        <w:jc w:val="center"/>
      </w:pPr>
      <w:r>
        <w:rPr>
          <w:i/>
          <w:iCs/>
          <w:sz w:val="18"/>
          <w:szCs w:val="18"/>
        </w:rPr>
        <w:t>Figure 1: Proposed Software Architecture — AI-Driven Urban Flood Monitoring and Risk Assessment Platform</w:t>
      </w:r>
    </w:p>
    <w:p w14:paraId="4A0C4DC6" w14:textId="77777777" w:rsidR="008E7599" w:rsidRDefault="0092784B">
      <w:pPr>
        <w:spacing w:after="160" w:line="276" w:lineRule="auto"/>
      </w:pPr>
      <w:r>
        <w:t>The diagram uses four notations, shown in the legend: a solid arrow for a synchronous REST/HTTPS call, a dashed arrow for an asynchronous publish–subscribe event, a dotted arrow for a data read/write operation, and a purple line for an integration with an external system.</w:t>
      </w:r>
    </w:p>
    <w:p w14:paraId="5510707E" w14:textId="77777777" w:rsidR="008E7599" w:rsidRDefault="0092784B">
      <w:pPr>
        <w:pStyle w:val="Heading1"/>
      </w:pPr>
      <w:r>
        <w:lastRenderedPageBreak/>
        <w:t>4. Components and Their Interactions</w:t>
      </w:r>
    </w:p>
    <w:p w14:paraId="72B885E9" w14:textId="77777777" w:rsidR="008E7599" w:rsidRDefault="0092784B">
      <w:pPr>
        <w:pStyle w:val="Heading2"/>
      </w:pPr>
      <w:r>
        <w:t>4.1 Component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8E7599" w14:paraId="3BE5D4B5" w14:textId="77777777">
        <w:tblPrEx>
          <w:tblCellMar>
            <w:top w:w="0" w:type="dxa"/>
            <w:bottom w:w="0" w:type="dxa"/>
          </w:tblCellMar>
        </w:tblPrEx>
        <w:trPr>
          <w:tblHeader/>
        </w:trPr>
        <w:tc>
          <w:tcPr>
            <w:tcW w:w="2900" w:type="dxa"/>
            <w:shd w:val="clear" w:color="auto" w:fill="1F3B57"/>
            <w:tcMar>
              <w:top w:w="80" w:type="dxa"/>
              <w:left w:w="100" w:type="dxa"/>
              <w:bottom w:w="80" w:type="dxa"/>
              <w:right w:w="100" w:type="dxa"/>
            </w:tcMar>
            <w:vAlign w:val="center"/>
          </w:tcPr>
          <w:p w14:paraId="2BF62A51" w14:textId="77777777" w:rsidR="008E7599" w:rsidRDefault="0092784B">
            <w:r>
              <w:rPr>
                <w:b/>
                <w:bCs/>
                <w:color w:val="FFFFFF"/>
                <w:sz w:val="19"/>
                <w:szCs w:val="19"/>
              </w:rPr>
              <w:t>Component</w:t>
            </w:r>
          </w:p>
        </w:tc>
        <w:tc>
          <w:tcPr>
            <w:tcW w:w="6126" w:type="dxa"/>
            <w:shd w:val="clear" w:color="auto" w:fill="1F3B57"/>
            <w:tcMar>
              <w:top w:w="80" w:type="dxa"/>
              <w:left w:w="100" w:type="dxa"/>
              <w:bottom w:w="80" w:type="dxa"/>
              <w:right w:w="100" w:type="dxa"/>
            </w:tcMar>
            <w:vAlign w:val="center"/>
          </w:tcPr>
          <w:p w14:paraId="1DC223D8" w14:textId="77777777" w:rsidR="008E7599" w:rsidRDefault="0092784B">
            <w:r>
              <w:rPr>
                <w:b/>
                <w:bCs/>
                <w:color w:val="FFFFFF"/>
                <w:sz w:val="19"/>
                <w:szCs w:val="19"/>
              </w:rPr>
              <w:t>Responsibility</w:t>
            </w:r>
          </w:p>
        </w:tc>
      </w:tr>
      <w:tr w:rsidR="008E7599" w14:paraId="03EA6851" w14:textId="77777777">
        <w:tblPrEx>
          <w:tblCellMar>
            <w:top w:w="0" w:type="dxa"/>
            <w:bottom w:w="0" w:type="dxa"/>
          </w:tblCellMar>
        </w:tblPrEx>
        <w:tc>
          <w:tcPr>
            <w:tcW w:w="2900" w:type="dxa"/>
            <w:tcMar>
              <w:top w:w="80" w:type="dxa"/>
              <w:left w:w="100" w:type="dxa"/>
              <w:bottom w:w="80" w:type="dxa"/>
              <w:right w:w="100" w:type="dxa"/>
            </w:tcMar>
            <w:vAlign w:val="center"/>
          </w:tcPr>
          <w:p w14:paraId="7B1E0947" w14:textId="77777777" w:rsidR="008E7599" w:rsidRDefault="0092784B">
            <w:r>
              <w:rPr>
                <w:color w:val="000000"/>
                <w:sz w:val="19"/>
                <w:szCs w:val="19"/>
              </w:rPr>
              <w:t>API Gateway</w:t>
            </w:r>
          </w:p>
        </w:tc>
        <w:tc>
          <w:tcPr>
            <w:tcW w:w="6126" w:type="dxa"/>
            <w:tcMar>
              <w:top w:w="80" w:type="dxa"/>
              <w:left w:w="100" w:type="dxa"/>
              <w:bottom w:w="80" w:type="dxa"/>
              <w:right w:w="100" w:type="dxa"/>
            </w:tcMar>
            <w:vAlign w:val="center"/>
          </w:tcPr>
          <w:p w14:paraId="4A56EDB7" w14:textId="77777777" w:rsidR="008E7599" w:rsidRDefault="0092784B">
            <w:r>
              <w:rPr>
                <w:color w:val="000000"/>
                <w:sz w:val="19"/>
                <w:szCs w:val="19"/>
              </w:rPr>
              <w:t>Single entry point for client traffic; authenticates requests, routes them to the correct microservice, applies rate limiting and load balancing.</w:t>
            </w:r>
          </w:p>
        </w:tc>
      </w:tr>
      <w:tr w:rsidR="008E7599" w14:paraId="7894C088" w14:textId="77777777">
        <w:tblPrEx>
          <w:tblCellMar>
            <w:top w:w="0" w:type="dxa"/>
            <w:bottom w:w="0" w:type="dxa"/>
          </w:tblCellMar>
        </w:tblPrEx>
        <w:tc>
          <w:tcPr>
            <w:tcW w:w="2900" w:type="dxa"/>
            <w:shd w:val="clear" w:color="auto" w:fill="DCE9F2"/>
            <w:tcMar>
              <w:top w:w="80" w:type="dxa"/>
              <w:left w:w="100" w:type="dxa"/>
              <w:bottom w:w="80" w:type="dxa"/>
              <w:right w:w="100" w:type="dxa"/>
            </w:tcMar>
            <w:vAlign w:val="center"/>
          </w:tcPr>
          <w:p w14:paraId="52B08EF1" w14:textId="77777777" w:rsidR="008E7599" w:rsidRDefault="0092784B">
            <w:r>
              <w:rPr>
                <w:color w:val="000000"/>
                <w:sz w:val="19"/>
                <w:szCs w:val="19"/>
              </w:rPr>
              <w:t>Sensor Data Ingestion Service</w:t>
            </w:r>
          </w:p>
        </w:tc>
        <w:tc>
          <w:tcPr>
            <w:tcW w:w="6126" w:type="dxa"/>
            <w:shd w:val="clear" w:color="auto" w:fill="DCE9F2"/>
            <w:tcMar>
              <w:top w:w="80" w:type="dxa"/>
              <w:left w:w="100" w:type="dxa"/>
              <w:bottom w:w="80" w:type="dxa"/>
              <w:right w:w="100" w:type="dxa"/>
            </w:tcMar>
            <w:vAlign w:val="center"/>
          </w:tcPr>
          <w:p w14:paraId="5A689123" w14:textId="77777777" w:rsidR="008E7599" w:rsidRDefault="0092784B">
            <w:r>
              <w:rPr>
                <w:color w:val="000000"/>
                <w:sz w:val="19"/>
                <w:szCs w:val="19"/>
              </w:rPr>
              <w:t>Receives and validates rainfall/water-level telemetry; timestamps and geotags readings; persists to the Time-Series DB; publishes reading events to the Event Bus.</w:t>
            </w:r>
          </w:p>
        </w:tc>
      </w:tr>
      <w:tr w:rsidR="008E7599" w14:paraId="0A7FE9BD" w14:textId="77777777">
        <w:tblPrEx>
          <w:tblCellMar>
            <w:top w:w="0" w:type="dxa"/>
            <w:bottom w:w="0" w:type="dxa"/>
          </w:tblCellMar>
        </w:tblPrEx>
        <w:tc>
          <w:tcPr>
            <w:tcW w:w="2900" w:type="dxa"/>
            <w:tcMar>
              <w:top w:w="80" w:type="dxa"/>
              <w:left w:w="100" w:type="dxa"/>
              <w:bottom w:w="80" w:type="dxa"/>
              <w:right w:w="100" w:type="dxa"/>
            </w:tcMar>
            <w:vAlign w:val="center"/>
          </w:tcPr>
          <w:p w14:paraId="7DAB12EB" w14:textId="77777777" w:rsidR="008E7599" w:rsidRDefault="0092784B">
            <w:r>
              <w:rPr>
                <w:color w:val="000000"/>
                <w:sz w:val="19"/>
                <w:szCs w:val="19"/>
              </w:rPr>
              <w:t>AI Flood Prediction Service</w:t>
            </w:r>
          </w:p>
        </w:tc>
        <w:tc>
          <w:tcPr>
            <w:tcW w:w="6126" w:type="dxa"/>
            <w:tcMar>
              <w:top w:w="80" w:type="dxa"/>
              <w:left w:w="100" w:type="dxa"/>
              <w:bottom w:w="80" w:type="dxa"/>
              <w:right w:w="100" w:type="dxa"/>
            </w:tcMar>
            <w:vAlign w:val="center"/>
          </w:tcPr>
          <w:p w14:paraId="2701C8C5" w14:textId="77777777" w:rsidR="008E7599" w:rsidRDefault="0092784B">
            <w:r>
              <w:rPr>
                <w:color w:val="000000"/>
                <w:sz w:val="19"/>
                <w:szCs w:val="19"/>
              </w:rPr>
              <w:t>Consumes sensor and weather-forecast data; runs the ML model to classify zones by flood risk; publishes risk-classification events.</w:t>
            </w:r>
          </w:p>
        </w:tc>
      </w:tr>
      <w:tr w:rsidR="008E7599" w14:paraId="71229055" w14:textId="77777777">
        <w:tblPrEx>
          <w:tblCellMar>
            <w:top w:w="0" w:type="dxa"/>
            <w:bottom w:w="0" w:type="dxa"/>
          </w:tblCellMar>
        </w:tblPrEx>
        <w:tc>
          <w:tcPr>
            <w:tcW w:w="2900" w:type="dxa"/>
            <w:shd w:val="clear" w:color="auto" w:fill="DCE9F2"/>
            <w:tcMar>
              <w:top w:w="80" w:type="dxa"/>
              <w:left w:w="100" w:type="dxa"/>
              <w:bottom w:w="80" w:type="dxa"/>
              <w:right w:w="100" w:type="dxa"/>
            </w:tcMar>
            <w:vAlign w:val="center"/>
          </w:tcPr>
          <w:p w14:paraId="6836A5AA" w14:textId="77777777" w:rsidR="008E7599" w:rsidRDefault="0092784B">
            <w:r>
              <w:rPr>
                <w:color w:val="000000"/>
                <w:sz w:val="19"/>
                <w:szCs w:val="19"/>
              </w:rPr>
              <w:t>Emergency Response &amp; Resource Service</w:t>
            </w:r>
          </w:p>
        </w:tc>
        <w:tc>
          <w:tcPr>
            <w:tcW w:w="6126" w:type="dxa"/>
            <w:shd w:val="clear" w:color="auto" w:fill="DCE9F2"/>
            <w:tcMar>
              <w:top w:w="80" w:type="dxa"/>
              <w:left w:w="100" w:type="dxa"/>
              <w:bottom w:w="80" w:type="dxa"/>
              <w:right w:w="100" w:type="dxa"/>
            </w:tcMar>
            <w:vAlign w:val="center"/>
          </w:tcPr>
          <w:p w14:paraId="137E58D5" w14:textId="77777777" w:rsidR="008E7599" w:rsidRDefault="0092784B">
            <w:r>
              <w:rPr>
                <w:color w:val="000000"/>
                <w:sz w:val="19"/>
                <w:szCs w:val="19"/>
              </w:rPr>
              <w:t>Consumes risk/alert events; supports evacuation-plan creation and tracking; manages assignment of shelters, vehicles, and response teams.</w:t>
            </w:r>
          </w:p>
        </w:tc>
      </w:tr>
      <w:tr w:rsidR="008E7599" w14:paraId="0D49E41C" w14:textId="77777777">
        <w:tblPrEx>
          <w:tblCellMar>
            <w:top w:w="0" w:type="dxa"/>
            <w:bottom w:w="0" w:type="dxa"/>
          </w:tblCellMar>
        </w:tblPrEx>
        <w:tc>
          <w:tcPr>
            <w:tcW w:w="2900" w:type="dxa"/>
            <w:tcMar>
              <w:top w:w="80" w:type="dxa"/>
              <w:left w:w="100" w:type="dxa"/>
              <w:bottom w:w="80" w:type="dxa"/>
              <w:right w:w="100" w:type="dxa"/>
            </w:tcMar>
            <w:vAlign w:val="center"/>
          </w:tcPr>
          <w:p w14:paraId="56080C7B" w14:textId="77777777" w:rsidR="008E7599" w:rsidRDefault="0092784B">
            <w:r>
              <w:rPr>
                <w:color w:val="000000"/>
                <w:sz w:val="19"/>
                <w:szCs w:val="19"/>
              </w:rPr>
              <w:t>User &amp; Access Management Service</w:t>
            </w:r>
          </w:p>
        </w:tc>
        <w:tc>
          <w:tcPr>
            <w:tcW w:w="6126" w:type="dxa"/>
            <w:tcMar>
              <w:top w:w="80" w:type="dxa"/>
              <w:left w:w="100" w:type="dxa"/>
              <w:bottom w:w="80" w:type="dxa"/>
              <w:right w:w="100" w:type="dxa"/>
            </w:tcMar>
            <w:vAlign w:val="center"/>
          </w:tcPr>
          <w:p w14:paraId="0DD3B16A" w14:textId="77777777" w:rsidR="008E7599" w:rsidRDefault="0092784B">
            <w:r>
              <w:rPr>
                <w:color w:val="000000"/>
                <w:sz w:val="19"/>
                <w:szCs w:val="19"/>
              </w:rPr>
              <w:t>Manages accounts, roles, and permissions; issues credentials validated by the API Gateway on every request.</w:t>
            </w:r>
          </w:p>
        </w:tc>
      </w:tr>
      <w:tr w:rsidR="008E7599" w14:paraId="69203D90" w14:textId="77777777">
        <w:tblPrEx>
          <w:tblCellMar>
            <w:top w:w="0" w:type="dxa"/>
            <w:bottom w:w="0" w:type="dxa"/>
          </w:tblCellMar>
        </w:tblPrEx>
        <w:tc>
          <w:tcPr>
            <w:tcW w:w="2900" w:type="dxa"/>
            <w:shd w:val="clear" w:color="auto" w:fill="DCE9F2"/>
            <w:tcMar>
              <w:top w:w="80" w:type="dxa"/>
              <w:left w:w="100" w:type="dxa"/>
              <w:bottom w:w="80" w:type="dxa"/>
              <w:right w:w="100" w:type="dxa"/>
            </w:tcMar>
            <w:vAlign w:val="center"/>
          </w:tcPr>
          <w:p w14:paraId="66C0CD47" w14:textId="77777777" w:rsidR="008E7599" w:rsidRDefault="0092784B">
            <w:r>
              <w:rPr>
                <w:color w:val="000000"/>
                <w:sz w:val="19"/>
                <w:szCs w:val="19"/>
              </w:rPr>
              <w:t>Drainage Monitoring Service</w:t>
            </w:r>
          </w:p>
        </w:tc>
        <w:tc>
          <w:tcPr>
            <w:tcW w:w="6126" w:type="dxa"/>
            <w:shd w:val="clear" w:color="auto" w:fill="DCE9F2"/>
            <w:tcMar>
              <w:top w:w="80" w:type="dxa"/>
              <w:left w:w="100" w:type="dxa"/>
              <w:bottom w:w="80" w:type="dxa"/>
              <w:right w:w="100" w:type="dxa"/>
            </w:tcMar>
            <w:vAlign w:val="center"/>
          </w:tcPr>
          <w:p w14:paraId="0D900519" w14:textId="77777777" w:rsidR="008E7599" w:rsidRDefault="0092784B">
            <w:r>
              <w:rPr>
                <w:color w:val="000000"/>
                <w:sz w:val="19"/>
                <w:szCs w:val="19"/>
              </w:rPr>
              <w:t>Records field-logged drainage condition and maintenance status; supplies this data as an additional prediction input.</w:t>
            </w:r>
          </w:p>
        </w:tc>
      </w:tr>
      <w:tr w:rsidR="008E7599" w14:paraId="739A352B" w14:textId="77777777">
        <w:tblPrEx>
          <w:tblCellMar>
            <w:top w:w="0" w:type="dxa"/>
            <w:bottom w:w="0" w:type="dxa"/>
          </w:tblCellMar>
        </w:tblPrEx>
        <w:tc>
          <w:tcPr>
            <w:tcW w:w="2900" w:type="dxa"/>
            <w:tcMar>
              <w:top w:w="80" w:type="dxa"/>
              <w:left w:w="100" w:type="dxa"/>
              <w:bottom w:w="80" w:type="dxa"/>
              <w:right w:w="100" w:type="dxa"/>
            </w:tcMar>
            <w:vAlign w:val="center"/>
          </w:tcPr>
          <w:p w14:paraId="14E6A0F8" w14:textId="77777777" w:rsidR="008E7599" w:rsidRDefault="0092784B">
            <w:r>
              <w:rPr>
                <w:color w:val="000000"/>
                <w:sz w:val="19"/>
                <w:szCs w:val="19"/>
              </w:rPr>
              <w:t>GIS Visualization Service</w:t>
            </w:r>
          </w:p>
        </w:tc>
        <w:tc>
          <w:tcPr>
            <w:tcW w:w="6126" w:type="dxa"/>
            <w:tcMar>
              <w:top w:w="80" w:type="dxa"/>
              <w:left w:w="100" w:type="dxa"/>
              <w:bottom w:w="80" w:type="dxa"/>
              <w:right w:w="100" w:type="dxa"/>
            </w:tcMar>
            <w:vAlign w:val="center"/>
          </w:tcPr>
          <w:p w14:paraId="6EBA13E5" w14:textId="77777777" w:rsidR="008E7599" w:rsidRDefault="0092784B">
            <w:r>
              <w:rPr>
                <w:color w:val="000000"/>
                <w:sz w:val="19"/>
                <w:szCs w:val="19"/>
              </w:rPr>
              <w:t>Combines geospatial layers with live risk classifications to render the interactive flood-risk map.</w:t>
            </w:r>
          </w:p>
        </w:tc>
      </w:tr>
      <w:tr w:rsidR="008E7599" w14:paraId="3DAFA4CD" w14:textId="77777777">
        <w:tblPrEx>
          <w:tblCellMar>
            <w:top w:w="0" w:type="dxa"/>
            <w:bottom w:w="0" w:type="dxa"/>
          </w:tblCellMar>
        </w:tblPrEx>
        <w:tc>
          <w:tcPr>
            <w:tcW w:w="2900" w:type="dxa"/>
            <w:shd w:val="clear" w:color="auto" w:fill="DCE9F2"/>
            <w:tcMar>
              <w:top w:w="80" w:type="dxa"/>
              <w:left w:w="100" w:type="dxa"/>
              <w:bottom w:w="80" w:type="dxa"/>
              <w:right w:w="100" w:type="dxa"/>
            </w:tcMar>
            <w:vAlign w:val="center"/>
          </w:tcPr>
          <w:p w14:paraId="7DF6B1EC" w14:textId="77777777" w:rsidR="008E7599" w:rsidRDefault="0092784B">
            <w:r>
              <w:rPr>
                <w:color w:val="000000"/>
                <w:sz w:val="19"/>
                <w:szCs w:val="19"/>
              </w:rPr>
              <w:t>Alerting &amp; Notification Service</w:t>
            </w:r>
          </w:p>
        </w:tc>
        <w:tc>
          <w:tcPr>
            <w:tcW w:w="6126" w:type="dxa"/>
            <w:shd w:val="clear" w:color="auto" w:fill="DCE9F2"/>
            <w:tcMar>
              <w:top w:w="80" w:type="dxa"/>
              <w:left w:w="100" w:type="dxa"/>
              <w:bottom w:w="80" w:type="dxa"/>
              <w:right w:w="100" w:type="dxa"/>
            </w:tcMar>
            <w:vAlign w:val="center"/>
          </w:tcPr>
          <w:p w14:paraId="7C149BF3" w14:textId="77777777" w:rsidR="008E7599" w:rsidRDefault="0092784B">
            <w:r>
              <w:rPr>
                <w:color w:val="000000"/>
                <w:sz w:val="19"/>
                <w:szCs w:val="19"/>
              </w:rPr>
              <w:t>Consumes risk-classification events; drafts alerts for administrator approval; dispatches approved alerts through the notification gateway.</w:t>
            </w:r>
          </w:p>
        </w:tc>
      </w:tr>
      <w:tr w:rsidR="008E7599" w14:paraId="57E4E4EE" w14:textId="77777777">
        <w:tblPrEx>
          <w:tblCellMar>
            <w:top w:w="0" w:type="dxa"/>
            <w:bottom w:w="0" w:type="dxa"/>
          </w:tblCellMar>
        </w:tblPrEx>
        <w:tc>
          <w:tcPr>
            <w:tcW w:w="2900" w:type="dxa"/>
            <w:tcMar>
              <w:top w:w="80" w:type="dxa"/>
              <w:left w:w="100" w:type="dxa"/>
              <w:bottom w:w="80" w:type="dxa"/>
              <w:right w:w="100" w:type="dxa"/>
            </w:tcMar>
            <w:vAlign w:val="center"/>
          </w:tcPr>
          <w:p w14:paraId="16521921" w14:textId="77777777" w:rsidR="008E7599" w:rsidRDefault="0092784B">
            <w:r>
              <w:rPr>
                <w:color w:val="000000"/>
                <w:sz w:val="19"/>
                <w:szCs w:val="19"/>
              </w:rPr>
              <w:t>Reporting &amp; Analytics Service</w:t>
            </w:r>
          </w:p>
        </w:tc>
        <w:tc>
          <w:tcPr>
            <w:tcW w:w="6126" w:type="dxa"/>
            <w:tcMar>
              <w:top w:w="80" w:type="dxa"/>
              <w:left w:w="100" w:type="dxa"/>
              <w:bottom w:w="80" w:type="dxa"/>
              <w:right w:w="100" w:type="dxa"/>
            </w:tcMar>
            <w:vAlign w:val="center"/>
          </w:tcPr>
          <w:p w14:paraId="669AB37E" w14:textId="77777777" w:rsidR="008E7599" w:rsidRDefault="0092784B">
            <w:r>
              <w:rPr>
                <w:color w:val="000000"/>
                <w:sz w:val="19"/>
                <w:szCs w:val="19"/>
              </w:rPr>
              <w:t>Aggregates historical readings and events into trend and post-event reports; supports export.</w:t>
            </w:r>
          </w:p>
        </w:tc>
      </w:tr>
      <w:tr w:rsidR="008E7599" w14:paraId="6F9E2D89" w14:textId="77777777">
        <w:tblPrEx>
          <w:tblCellMar>
            <w:top w:w="0" w:type="dxa"/>
            <w:bottom w:w="0" w:type="dxa"/>
          </w:tblCellMar>
        </w:tblPrEx>
        <w:tc>
          <w:tcPr>
            <w:tcW w:w="2900" w:type="dxa"/>
            <w:shd w:val="clear" w:color="auto" w:fill="DCE9F2"/>
            <w:tcMar>
              <w:top w:w="80" w:type="dxa"/>
              <w:left w:w="100" w:type="dxa"/>
              <w:bottom w:w="80" w:type="dxa"/>
              <w:right w:w="100" w:type="dxa"/>
            </w:tcMar>
            <w:vAlign w:val="center"/>
          </w:tcPr>
          <w:p w14:paraId="032F577B" w14:textId="77777777" w:rsidR="008E7599" w:rsidRDefault="0092784B">
            <w:r>
              <w:rPr>
                <w:color w:val="000000"/>
                <w:sz w:val="19"/>
                <w:szCs w:val="19"/>
              </w:rPr>
              <w:t>Event Bus / Message Broker</w:t>
            </w:r>
          </w:p>
        </w:tc>
        <w:tc>
          <w:tcPr>
            <w:tcW w:w="6126" w:type="dxa"/>
            <w:shd w:val="clear" w:color="auto" w:fill="DCE9F2"/>
            <w:tcMar>
              <w:top w:w="80" w:type="dxa"/>
              <w:left w:w="100" w:type="dxa"/>
              <w:bottom w:w="80" w:type="dxa"/>
              <w:right w:w="100" w:type="dxa"/>
            </w:tcMar>
            <w:vAlign w:val="center"/>
          </w:tcPr>
          <w:p w14:paraId="4A3BB511" w14:textId="77777777" w:rsidR="008E7599" w:rsidRDefault="0092784B">
            <w:r>
              <w:rPr>
                <w:color w:val="000000"/>
                <w:sz w:val="19"/>
                <w:szCs w:val="19"/>
              </w:rPr>
              <w:t>Decouples data producers from consumers; buffers bursts in sensor traffic; lets services scale and evolve independently.</w:t>
            </w:r>
          </w:p>
        </w:tc>
      </w:tr>
      <w:tr w:rsidR="008E7599" w14:paraId="486B5CC1" w14:textId="77777777">
        <w:tblPrEx>
          <w:tblCellMar>
            <w:top w:w="0" w:type="dxa"/>
            <w:bottom w:w="0" w:type="dxa"/>
          </w:tblCellMar>
        </w:tblPrEx>
        <w:tc>
          <w:tcPr>
            <w:tcW w:w="2900" w:type="dxa"/>
            <w:tcMar>
              <w:top w:w="80" w:type="dxa"/>
              <w:left w:w="100" w:type="dxa"/>
              <w:bottom w:w="80" w:type="dxa"/>
              <w:right w:w="100" w:type="dxa"/>
            </w:tcMar>
            <w:vAlign w:val="center"/>
          </w:tcPr>
          <w:p w14:paraId="2245C1E1" w14:textId="77777777" w:rsidR="008E7599" w:rsidRDefault="0092784B">
            <w:r>
              <w:rPr>
                <w:color w:val="000000"/>
                <w:sz w:val="19"/>
                <w:szCs w:val="19"/>
              </w:rPr>
              <w:t>Data Layer</w:t>
            </w:r>
          </w:p>
        </w:tc>
        <w:tc>
          <w:tcPr>
            <w:tcW w:w="6126" w:type="dxa"/>
            <w:tcMar>
              <w:top w:w="80" w:type="dxa"/>
              <w:left w:w="100" w:type="dxa"/>
              <w:bottom w:w="80" w:type="dxa"/>
              <w:right w:w="100" w:type="dxa"/>
            </w:tcMar>
            <w:vAlign w:val="center"/>
          </w:tcPr>
          <w:p w14:paraId="692B97CC" w14:textId="77777777" w:rsidR="008E7599" w:rsidRDefault="0092784B">
            <w:r>
              <w:rPr>
                <w:color w:val="000000"/>
                <w:sz w:val="19"/>
                <w:szCs w:val="19"/>
              </w:rPr>
              <w:t>Four purpose-fit stores — time-series, GIS spatial, relational, and object storage — each matched to the access pattern of the services that use it.</w:t>
            </w:r>
          </w:p>
        </w:tc>
      </w:tr>
    </w:tbl>
    <w:p w14:paraId="59D22450" w14:textId="77777777" w:rsidR="008E7599" w:rsidRDefault="0092784B">
      <w:pPr>
        <w:pStyle w:val="Heading2"/>
      </w:pPr>
      <w:r>
        <w:t>4.2 End-to-End Workflow</w:t>
      </w:r>
    </w:p>
    <w:p w14:paraId="6DC806D9" w14:textId="77777777" w:rsidR="008E7599" w:rsidRDefault="0092784B">
      <w:pPr>
        <w:spacing w:after="160" w:line="276" w:lineRule="auto"/>
      </w:pPr>
      <w:r>
        <w:t>The following sequence illustrates how the components interact, from a raw sensor reading to a dispatched public alert:</w:t>
      </w:r>
    </w:p>
    <w:p w14:paraId="2DBBA15A" w14:textId="77777777" w:rsidR="008E7599" w:rsidRDefault="0092784B">
      <w:pPr>
        <w:spacing w:after="80" w:line="276" w:lineRule="auto"/>
        <w:ind w:left="480" w:hanging="240"/>
      </w:pPr>
      <w:r>
        <w:t>1. IoT rain-gauge and water-level sensors send readings to the Sensor Data Ingestion Service.</w:t>
      </w:r>
    </w:p>
    <w:p w14:paraId="1229D08A" w14:textId="77777777" w:rsidR="008E7599" w:rsidRDefault="0092784B">
      <w:pPr>
        <w:spacing w:after="80" w:line="276" w:lineRule="auto"/>
        <w:ind w:left="480" w:hanging="240"/>
      </w:pPr>
      <w:r>
        <w:t>2. The Ingestion Service validates and geotags each reading, stores it in the Time-Series DB, and publishes a reading event to the Event Bus.</w:t>
      </w:r>
    </w:p>
    <w:p w14:paraId="6932059D" w14:textId="77777777" w:rsidR="008E7599" w:rsidRDefault="0092784B">
      <w:pPr>
        <w:spacing w:after="80" w:line="276" w:lineRule="auto"/>
        <w:ind w:left="480" w:hanging="240"/>
      </w:pPr>
      <w:r>
        <w:t>3. The AI Flood Prediction Service consumes the reading event together with drainage status and the Weather Forecast Service feed, and computes an updated risk classification per zone.</w:t>
      </w:r>
    </w:p>
    <w:p w14:paraId="3F0E3CD0" w14:textId="77777777" w:rsidR="008E7599" w:rsidRDefault="0092784B">
      <w:pPr>
        <w:spacing w:after="80" w:line="276" w:lineRule="auto"/>
        <w:ind w:left="480" w:hanging="240"/>
      </w:pPr>
      <w:r>
        <w:t>4. The updated classification is published as an event; the GIS Visualization Service consumes it to refresh the map, and the Alerting &amp; Notification Service consumes it to check configured thresholds.</w:t>
      </w:r>
    </w:p>
    <w:p w14:paraId="203FDD2B" w14:textId="77777777" w:rsidR="008E7599" w:rsidRDefault="0092784B">
      <w:pPr>
        <w:spacing w:after="80" w:line="276" w:lineRule="auto"/>
        <w:ind w:left="480" w:hanging="240"/>
      </w:pPr>
      <w:r>
        <w:t>5. If a zone crosses a threshold, the Alerting &amp; Notification Service drafts an alert and routes it through the API Gateway to the Admin Web Dashboard for review.</w:t>
      </w:r>
    </w:p>
    <w:p w14:paraId="4D1479C9" w14:textId="77777777" w:rsidR="008E7599" w:rsidRDefault="0092784B">
      <w:pPr>
        <w:spacing w:after="80" w:line="276" w:lineRule="auto"/>
        <w:ind w:left="480" w:hanging="240"/>
      </w:pPr>
      <w:r>
        <w:lastRenderedPageBreak/>
        <w:t>6. Once an administrator approves the alert, it is dispatched via the SMS/Email/Push Notification Gateway to citizens and relevant authorities, and the delivery is logged.</w:t>
      </w:r>
    </w:p>
    <w:p w14:paraId="2590F295" w14:textId="77777777" w:rsidR="008E7599" w:rsidRDefault="0092784B">
      <w:pPr>
        <w:spacing w:after="80" w:line="276" w:lineRule="auto"/>
        <w:ind w:left="480" w:hanging="240"/>
      </w:pPr>
      <w:r>
        <w:t>7. The Emergency Response &amp; Resource Service consumes the approved alert event to support evacuation planning and resource assignment for the affected zone.</w:t>
      </w:r>
    </w:p>
    <w:p w14:paraId="44B6FA72" w14:textId="77777777" w:rsidR="008E7599" w:rsidRDefault="0092784B">
      <w:pPr>
        <w:spacing w:after="80" w:line="276" w:lineRule="auto"/>
        <w:ind w:left="480" w:hanging="240"/>
      </w:pPr>
      <w:r>
        <w:t>8. The Reporting &amp; Analytics Service consumes the same events in the background to build historical trend data for later analysis.</w:t>
      </w:r>
    </w:p>
    <w:p w14:paraId="3AB2C9B8" w14:textId="77777777" w:rsidR="008E7599" w:rsidRDefault="0092784B">
      <w:pPr>
        <w:pStyle w:val="Heading2"/>
      </w:pPr>
      <w:r>
        <w:t>4.3 Communication Mechanisms</w:t>
      </w:r>
    </w:p>
    <w:p w14:paraId="77F17DAB" w14:textId="77777777" w:rsidR="008E7599" w:rsidRDefault="0092784B">
      <w:pPr>
        <w:spacing w:after="160" w:line="276" w:lineRule="auto"/>
      </w:pPr>
      <w:r>
        <w:t>Components exchange data using the mechanism best suited to each interaction:</w:t>
      </w:r>
    </w:p>
    <w:p w14:paraId="066F038F" w14:textId="77777777" w:rsidR="008E7599" w:rsidRDefault="0092784B">
      <w:pPr>
        <w:pStyle w:val="ListParagraph"/>
        <w:numPr>
          <w:ilvl w:val="0"/>
          <w:numId w:val="2"/>
        </w:numPr>
        <w:spacing w:after="80" w:line="276" w:lineRule="auto"/>
      </w:pPr>
      <w:r>
        <w:t>REST over HTTPS — used for synchronous client-to-gateway and gateway-to-service calls, such as an administrator loading the dashboard or a citizen viewing the public risk map.</w:t>
      </w:r>
    </w:p>
    <w:p w14:paraId="6BE830EE" w14:textId="77777777" w:rsidR="008E7599" w:rsidRDefault="0092784B">
      <w:pPr>
        <w:pStyle w:val="ListParagraph"/>
        <w:numPr>
          <w:ilvl w:val="0"/>
          <w:numId w:val="2"/>
        </w:numPr>
        <w:spacing w:after="80" w:line="276" w:lineRule="auto"/>
      </w:pPr>
      <w:r>
        <w:t>MQTT — used for lightweight, high-frequency telemetry from IoT rain-gauge and water-level sensors into the Sensor Data Ingestion Service.</w:t>
      </w:r>
    </w:p>
    <w:p w14:paraId="45AA0C34" w14:textId="77777777" w:rsidR="008E7599" w:rsidRDefault="0092784B">
      <w:pPr>
        <w:pStyle w:val="ListParagraph"/>
        <w:numPr>
          <w:ilvl w:val="0"/>
          <w:numId w:val="2"/>
        </w:numPr>
        <w:spacing w:after="80" w:line="276" w:lineRule="auto"/>
      </w:pPr>
      <w:r>
        <w:t>Event bus topics (e.g., Kafka) — used for inter-service publish–subscribe messaging, such as reading events and risk-classification events, so producers and consumers remain decoupled.</w:t>
      </w:r>
    </w:p>
    <w:p w14:paraId="27A2F68B" w14:textId="77777777" w:rsidR="008E7599" w:rsidRDefault="0092784B">
      <w:pPr>
        <w:pStyle w:val="ListParagraph"/>
        <w:numPr>
          <w:ilvl w:val="0"/>
          <w:numId w:val="2"/>
        </w:numPr>
        <w:spacing w:after="80" w:line="276" w:lineRule="auto"/>
      </w:pPr>
      <w:r>
        <w:t>WebSocket — used to push real-time updates to the Admin Web Dashboard and public map view without requiring clients to continuously poll.</w:t>
      </w:r>
    </w:p>
    <w:p w14:paraId="31D8E932" w14:textId="77777777" w:rsidR="008E7599" w:rsidRDefault="0092784B">
      <w:pPr>
        <w:pStyle w:val="ListParagraph"/>
        <w:numPr>
          <w:ilvl w:val="0"/>
          <w:numId w:val="2"/>
        </w:numPr>
        <w:spacing w:after="80" w:line="276" w:lineRule="auto"/>
      </w:pPr>
      <w:r>
        <w:t>Internal service-to-service REST calls — used sparingly, within a private network, for a small number of direct lookups (for example, Alerting confirming a user's notification preferences with User &amp; Access Management).</w:t>
      </w:r>
    </w:p>
    <w:p w14:paraId="6976ED91" w14:textId="77777777" w:rsidR="008E7599" w:rsidRDefault="0092784B">
      <w:pPr>
        <w:pStyle w:val="Heading2"/>
      </w:pPr>
      <w:r>
        <w:t>4.4 Requirement-to-Component Traceability</w:t>
      </w:r>
    </w:p>
    <w:p w14:paraId="1284BBAE" w14:textId="77777777" w:rsidR="008E7599" w:rsidRDefault="0092784B">
      <w:pPr>
        <w:spacing w:after="160" w:line="276" w:lineRule="auto"/>
      </w:pPr>
      <w:r>
        <w:t>The table below traces each functional requirement area back to the component(s) responsible for it, confirming that every area identified in the requirements analysis has an architectural home.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8E7599" w14:paraId="7D76F57F" w14:textId="77777777">
        <w:tblPrEx>
          <w:tblCellMar>
            <w:top w:w="0" w:type="dxa"/>
            <w:bottom w:w="0" w:type="dxa"/>
          </w:tblCellMar>
        </w:tblPrEx>
        <w:trPr>
          <w:tblHeader/>
        </w:trPr>
        <w:tc>
          <w:tcPr>
            <w:tcW w:w="3600" w:type="dxa"/>
            <w:shd w:val="clear" w:color="auto" w:fill="1F3B57"/>
            <w:tcMar>
              <w:top w:w="80" w:type="dxa"/>
              <w:left w:w="100" w:type="dxa"/>
              <w:bottom w:w="80" w:type="dxa"/>
              <w:right w:w="100" w:type="dxa"/>
            </w:tcMar>
            <w:vAlign w:val="center"/>
          </w:tcPr>
          <w:p w14:paraId="0920BA30" w14:textId="77777777" w:rsidR="008E7599" w:rsidRDefault="0092784B">
            <w:r>
              <w:rPr>
                <w:b/>
                <w:bCs/>
                <w:color w:val="FFFFFF"/>
                <w:sz w:val="19"/>
                <w:szCs w:val="19"/>
              </w:rPr>
              <w:t>Requirement Area</w:t>
            </w:r>
          </w:p>
        </w:tc>
        <w:tc>
          <w:tcPr>
            <w:tcW w:w="5426" w:type="dxa"/>
            <w:shd w:val="clear" w:color="auto" w:fill="1F3B57"/>
            <w:tcMar>
              <w:top w:w="80" w:type="dxa"/>
              <w:left w:w="100" w:type="dxa"/>
              <w:bottom w:w="80" w:type="dxa"/>
              <w:right w:w="100" w:type="dxa"/>
            </w:tcMar>
            <w:vAlign w:val="center"/>
          </w:tcPr>
          <w:p w14:paraId="47936ADA" w14:textId="77777777" w:rsidR="008E7599" w:rsidRDefault="0092784B">
            <w:r>
              <w:rPr>
                <w:b/>
                <w:bCs/>
                <w:color w:val="FFFFFF"/>
                <w:sz w:val="19"/>
                <w:szCs w:val="19"/>
              </w:rPr>
              <w:t>Responsible Component(s)</w:t>
            </w:r>
          </w:p>
        </w:tc>
      </w:tr>
      <w:tr w:rsidR="008E7599" w14:paraId="7BA91753" w14:textId="77777777">
        <w:tblPrEx>
          <w:tblCellMar>
            <w:top w:w="0" w:type="dxa"/>
            <w:bottom w:w="0" w:type="dxa"/>
          </w:tblCellMar>
        </w:tblPrEx>
        <w:tc>
          <w:tcPr>
            <w:tcW w:w="3600" w:type="dxa"/>
            <w:tcMar>
              <w:top w:w="80" w:type="dxa"/>
              <w:left w:w="100" w:type="dxa"/>
              <w:bottom w:w="80" w:type="dxa"/>
              <w:right w:w="100" w:type="dxa"/>
            </w:tcMar>
            <w:vAlign w:val="center"/>
          </w:tcPr>
          <w:p w14:paraId="57B51434" w14:textId="77777777" w:rsidR="008E7599" w:rsidRDefault="0092784B">
            <w:r>
              <w:rPr>
                <w:color w:val="000000"/>
                <w:sz w:val="19"/>
                <w:szCs w:val="19"/>
              </w:rPr>
              <w:t>Rainfall / water-level / drainage data acquisition</w:t>
            </w:r>
          </w:p>
        </w:tc>
        <w:tc>
          <w:tcPr>
            <w:tcW w:w="5426" w:type="dxa"/>
            <w:tcMar>
              <w:top w:w="80" w:type="dxa"/>
              <w:left w:w="100" w:type="dxa"/>
              <w:bottom w:w="80" w:type="dxa"/>
              <w:right w:w="100" w:type="dxa"/>
            </w:tcMar>
            <w:vAlign w:val="center"/>
          </w:tcPr>
          <w:p w14:paraId="58D4ED86" w14:textId="77777777" w:rsidR="008E7599" w:rsidRDefault="0092784B">
            <w:r>
              <w:rPr>
                <w:color w:val="000000"/>
                <w:sz w:val="19"/>
                <w:szCs w:val="19"/>
              </w:rPr>
              <w:t>Sensor Data Ingestion Service, Drainage Monitoring Service</w:t>
            </w:r>
          </w:p>
        </w:tc>
      </w:tr>
      <w:tr w:rsidR="008E7599" w14:paraId="74E243D9" w14:textId="77777777">
        <w:tblPrEx>
          <w:tblCellMar>
            <w:top w:w="0" w:type="dxa"/>
            <w:bottom w:w="0" w:type="dxa"/>
          </w:tblCellMar>
        </w:tblPrEx>
        <w:tc>
          <w:tcPr>
            <w:tcW w:w="3600" w:type="dxa"/>
            <w:shd w:val="clear" w:color="auto" w:fill="DCE9F2"/>
            <w:tcMar>
              <w:top w:w="80" w:type="dxa"/>
              <w:left w:w="100" w:type="dxa"/>
              <w:bottom w:w="80" w:type="dxa"/>
              <w:right w:w="100" w:type="dxa"/>
            </w:tcMar>
            <w:vAlign w:val="center"/>
          </w:tcPr>
          <w:p w14:paraId="20F0CFB4" w14:textId="77777777" w:rsidR="008E7599" w:rsidRDefault="0092784B">
            <w:r>
              <w:rPr>
                <w:color w:val="000000"/>
                <w:sz w:val="19"/>
                <w:szCs w:val="19"/>
              </w:rPr>
              <w:t>AI-based flood prediction</w:t>
            </w:r>
          </w:p>
        </w:tc>
        <w:tc>
          <w:tcPr>
            <w:tcW w:w="5426" w:type="dxa"/>
            <w:shd w:val="clear" w:color="auto" w:fill="DCE9F2"/>
            <w:tcMar>
              <w:top w:w="80" w:type="dxa"/>
              <w:left w:w="100" w:type="dxa"/>
              <w:bottom w:w="80" w:type="dxa"/>
              <w:right w:w="100" w:type="dxa"/>
            </w:tcMar>
            <w:vAlign w:val="center"/>
          </w:tcPr>
          <w:p w14:paraId="515CEC4E" w14:textId="77777777" w:rsidR="008E7599" w:rsidRDefault="0092784B">
            <w:r>
              <w:rPr>
                <w:color w:val="000000"/>
                <w:sz w:val="19"/>
                <w:szCs w:val="19"/>
              </w:rPr>
              <w:t>AI Flood Prediction Service</w:t>
            </w:r>
          </w:p>
        </w:tc>
      </w:tr>
      <w:tr w:rsidR="008E7599" w14:paraId="7247EC10" w14:textId="77777777">
        <w:tblPrEx>
          <w:tblCellMar>
            <w:top w:w="0" w:type="dxa"/>
            <w:bottom w:w="0" w:type="dxa"/>
          </w:tblCellMar>
        </w:tblPrEx>
        <w:tc>
          <w:tcPr>
            <w:tcW w:w="3600" w:type="dxa"/>
            <w:tcMar>
              <w:top w:w="80" w:type="dxa"/>
              <w:left w:w="100" w:type="dxa"/>
              <w:bottom w:w="80" w:type="dxa"/>
              <w:right w:w="100" w:type="dxa"/>
            </w:tcMar>
            <w:vAlign w:val="center"/>
          </w:tcPr>
          <w:p w14:paraId="2751E208" w14:textId="77777777" w:rsidR="008E7599" w:rsidRDefault="0092784B">
            <w:r>
              <w:rPr>
                <w:color w:val="000000"/>
                <w:sz w:val="19"/>
                <w:szCs w:val="19"/>
              </w:rPr>
              <w:t>GIS-based risk visualization</w:t>
            </w:r>
          </w:p>
        </w:tc>
        <w:tc>
          <w:tcPr>
            <w:tcW w:w="5426" w:type="dxa"/>
            <w:tcMar>
              <w:top w:w="80" w:type="dxa"/>
              <w:left w:w="100" w:type="dxa"/>
              <w:bottom w:w="80" w:type="dxa"/>
              <w:right w:w="100" w:type="dxa"/>
            </w:tcMar>
            <w:vAlign w:val="center"/>
          </w:tcPr>
          <w:p w14:paraId="0B590CAC" w14:textId="77777777" w:rsidR="008E7599" w:rsidRDefault="0092784B">
            <w:r>
              <w:rPr>
                <w:color w:val="000000"/>
                <w:sz w:val="19"/>
                <w:szCs w:val="19"/>
              </w:rPr>
              <w:t>GIS Visualization Service</w:t>
            </w:r>
          </w:p>
        </w:tc>
      </w:tr>
      <w:tr w:rsidR="008E7599" w14:paraId="5F71E517" w14:textId="77777777">
        <w:tblPrEx>
          <w:tblCellMar>
            <w:top w:w="0" w:type="dxa"/>
            <w:bottom w:w="0" w:type="dxa"/>
          </w:tblCellMar>
        </w:tblPrEx>
        <w:tc>
          <w:tcPr>
            <w:tcW w:w="3600" w:type="dxa"/>
            <w:shd w:val="clear" w:color="auto" w:fill="DCE9F2"/>
            <w:tcMar>
              <w:top w:w="80" w:type="dxa"/>
              <w:left w:w="100" w:type="dxa"/>
              <w:bottom w:w="80" w:type="dxa"/>
              <w:right w:w="100" w:type="dxa"/>
            </w:tcMar>
            <w:vAlign w:val="center"/>
          </w:tcPr>
          <w:p w14:paraId="4C3809E3" w14:textId="77777777" w:rsidR="008E7599" w:rsidRDefault="0092784B">
            <w:r>
              <w:rPr>
                <w:color w:val="000000"/>
                <w:sz w:val="19"/>
                <w:szCs w:val="19"/>
              </w:rPr>
              <w:t>Early warning alerting</w:t>
            </w:r>
          </w:p>
        </w:tc>
        <w:tc>
          <w:tcPr>
            <w:tcW w:w="5426" w:type="dxa"/>
            <w:shd w:val="clear" w:color="auto" w:fill="DCE9F2"/>
            <w:tcMar>
              <w:top w:w="80" w:type="dxa"/>
              <w:left w:w="100" w:type="dxa"/>
              <w:bottom w:w="80" w:type="dxa"/>
              <w:right w:w="100" w:type="dxa"/>
            </w:tcMar>
            <w:vAlign w:val="center"/>
          </w:tcPr>
          <w:p w14:paraId="1CE02ED8" w14:textId="77777777" w:rsidR="008E7599" w:rsidRDefault="0092784B">
            <w:r>
              <w:rPr>
                <w:color w:val="000000"/>
                <w:sz w:val="19"/>
                <w:szCs w:val="19"/>
              </w:rPr>
              <w:t>Alerting &amp; Notification Service</w:t>
            </w:r>
          </w:p>
        </w:tc>
      </w:tr>
      <w:tr w:rsidR="008E7599" w14:paraId="3F071234" w14:textId="77777777">
        <w:tblPrEx>
          <w:tblCellMar>
            <w:top w:w="0" w:type="dxa"/>
            <w:bottom w:w="0" w:type="dxa"/>
          </w:tblCellMar>
        </w:tblPrEx>
        <w:tc>
          <w:tcPr>
            <w:tcW w:w="3600" w:type="dxa"/>
            <w:tcMar>
              <w:top w:w="80" w:type="dxa"/>
              <w:left w:w="100" w:type="dxa"/>
              <w:bottom w:w="80" w:type="dxa"/>
              <w:right w:w="100" w:type="dxa"/>
            </w:tcMar>
            <w:vAlign w:val="center"/>
          </w:tcPr>
          <w:p w14:paraId="2F6E8E48" w14:textId="77777777" w:rsidR="008E7599" w:rsidRDefault="0092784B">
            <w:r>
              <w:rPr>
                <w:color w:val="000000"/>
                <w:sz w:val="19"/>
                <w:szCs w:val="19"/>
              </w:rPr>
              <w:t>Emergency response &amp; resource planning</w:t>
            </w:r>
          </w:p>
        </w:tc>
        <w:tc>
          <w:tcPr>
            <w:tcW w:w="5426" w:type="dxa"/>
            <w:tcMar>
              <w:top w:w="80" w:type="dxa"/>
              <w:left w:w="100" w:type="dxa"/>
              <w:bottom w:w="80" w:type="dxa"/>
              <w:right w:w="100" w:type="dxa"/>
            </w:tcMar>
            <w:vAlign w:val="center"/>
          </w:tcPr>
          <w:p w14:paraId="3F551B5A" w14:textId="77777777" w:rsidR="008E7599" w:rsidRDefault="0092784B">
            <w:r>
              <w:rPr>
                <w:color w:val="000000"/>
                <w:sz w:val="19"/>
                <w:szCs w:val="19"/>
              </w:rPr>
              <w:t>Emergency Response &amp; Resource Service</w:t>
            </w:r>
          </w:p>
        </w:tc>
      </w:tr>
      <w:tr w:rsidR="008E7599" w14:paraId="2FA62AF7" w14:textId="77777777">
        <w:tblPrEx>
          <w:tblCellMar>
            <w:top w:w="0" w:type="dxa"/>
            <w:bottom w:w="0" w:type="dxa"/>
          </w:tblCellMar>
        </w:tblPrEx>
        <w:tc>
          <w:tcPr>
            <w:tcW w:w="3600" w:type="dxa"/>
            <w:shd w:val="clear" w:color="auto" w:fill="DCE9F2"/>
            <w:tcMar>
              <w:top w:w="80" w:type="dxa"/>
              <w:left w:w="100" w:type="dxa"/>
              <w:bottom w:w="80" w:type="dxa"/>
              <w:right w:w="100" w:type="dxa"/>
            </w:tcMar>
            <w:vAlign w:val="center"/>
          </w:tcPr>
          <w:p w14:paraId="0D522BD0" w14:textId="77777777" w:rsidR="008E7599" w:rsidRDefault="0092784B">
            <w:r>
              <w:rPr>
                <w:color w:val="000000"/>
                <w:sz w:val="19"/>
                <w:szCs w:val="19"/>
              </w:rPr>
              <w:t>Dashboards &amp; historical reporting</w:t>
            </w:r>
          </w:p>
        </w:tc>
        <w:tc>
          <w:tcPr>
            <w:tcW w:w="5426" w:type="dxa"/>
            <w:shd w:val="clear" w:color="auto" w:fill="DCE9F2"/>
            <w:tcMar>
              <w:top w:w="80" w:type="dxa"/>
              <w:left w:w="100" w:type="dxa"/>
              <w:bottom w:w="80" w:type="dxa"/>
              <w:right w:w="100" w:type="dxa"/>
            </w:tcMar>
            <w:vAlign w:val="center"/>
          </w:tcPr>
          <w:p w14:paraId="246772A7" w14:textId="77777777" w:rsidR="008E7599" w:rsidRDefault="0092784B">
            <w:r>
              <w:rPr>
                <w:color w:val="000000"/>
                <w:sz w:val="19"/>
                <w:szCs w:val="19"/>
              </w:rPr>
              <w:t>Reporting &amp; Analytics Service, Admin Web Dashboard</w:t>
            </w:r>
          </w:p>
        </w:tc>
      </w:tr>
      <w:tr w:rsidR="008E7599" w14:paraId="43485AC6" w14:textId="77777777">
        <w:tblPrEx>
          <w:tblCellMar>
            <w:top w:w="0" w:type="dxa"/>
            <w:bottom w:w="0" w:type="dxa"/>
          </w:tblCellMar>
        </w:tblPrEx>
        <w:tc>
          <w:tcPr>
            <w:tcW w:w="3600" w:type="dxa"/>
            <w:tcMar>
              <w:top w:w="80" w:type="dxa"/>
              <w:left w:w="100" w:type="dxa"/>
              <w:bottom w:w="80" w:type="dxa"/>
              <w:right w:w="100" w:type="dxa"/>
            </w:tcMar>
            <w:vAlign w:val="center"/>
          </w:tcPr>
          <w:p w14:paraId="14CB0559" w14:textId="77777777" w:rsidR="008E7599" w:rsidRDefault="0092784B">
            <w:r>
              <w:rPr>
                <w:color w:val="000000"/>
                <w:sz w:val="19"/>
                <w:szCs w:val="19"/>
              </w:rPr>
              <w:t>User &amp; system administration</w:t>
            </w:r>
          </w:p>
        </w:tc>
        <w:tc>
          <w:tcPr>
            <w:tcW w:w="5426" w:type="dxa"/>
            <w:tcMar>
              <w:top w:w="80" w:type="dxa"/>
              <w:left w:w="100" w:type="dxa"/>
              <w:bottom w:w="80" w:type="dxa"/>
              <w:right w:w="100" w:type="dxa"/>
            </w:tcMar>
            <w:vAlign w:val="center"/>
          </w:tcPr>
          <w:p w14:paraId="4B98E2F9" w14:textId="77777777" w:rsidR="008E7599" w:rsidRDefault="0092784B">
            <w:r>
              <w:rPr>
                <w:color w:val="000000"/>
                <w:sz w:val="19"/>
                <w:szCs w:val="19"/>
              </w:rPr>
              <w:t>User &amp; Access Management Service, API Gateway</w:t>
            </w:r>
          </w:p>
        </w:tc>
      </w:tr>
    </w:tbl>
    <w:p w14:paraId="49CF427C" w14:textId="77777777" w:rsidR="008E7599" w:rsidRDefault="0092784B">
      <w:pPr>
        <w:pStyle w:val="Heading1"/>
      </w:pPr>
      <w:r>
        <w:t>5. Discussion of Quality Attributes</w:t>
      </w:r>
    </w:p>
    <w:p w14:paraId="2F365FBF" w14:textId="77777777" w:rsidR="008E7599" w:rsidRDefault="0092784B">
      <w:pPr>
        <w:spacing w:after="160" w:line="276" w:lineRule="auto"/>
      </w:pPr>
      <w:r>
        <w:t>The table below evaluates how the proposed hybrid architecture addresses each of the quality attributes identified in Section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E7599" w14:paraId="48E9674C" w14:textId="77777777">
        <w:tblPrEx>
          <w:tblCellMar>
            <w:top w:w="0" w:type="dxa"/>
            <w:bottom w:w="0" w:type="dxa"/>
          </w:tblCellMar>
        </w:tblPrEx>
        <w:trPr>
          <w:tblHeader/>
        </w:trPr>
        <w:tc>
          <w:tcPr>
            <w:tcW w:w="2200" w:type="dxa"/>
            <w:shd w:val="clear" w:color="auto" w:fill="1F3B57"/>
            <w:tcMar>
              <w:top w:w="80" w:type="dxa"/>
              <w:left w:w="100" w:type="dxa"/>
              <w:bottom w:w="80" w:type="dxa"/>
              <w:right w:w="100" w:type="dxa"/>
            </w:tcMar>
            <w:vAlign w:val="center"/>
          </w:tcPr>
          <w:p w14:paraId="5403EDEA" w14:textId="77777777" w:rsidR="008E7599" w:rsidRDefault="0092784B">
            <w:r>
              <w:rPr>
                <w:b/>
                <w:bCs/>
                <w:color w:val="FFFFFF"/>
                <w:sz w:val="19"/>
                <w:szCs w:val="19"/>
              </w:rPr>
              <w:lastRenderedPageBreak/>
              <w:t>Quality Attribute</w:t>
            </w:r>
          </w:p>
        </w:tc>
        <w:tc>
          <w:tcPr>
            <w:tcW w:w="6826" w:type="dxa"/>
            <w:shd w:val="clear" w:color="auto" w:fill="1F3B57"/>
            <w:tcMar>
              <w:top w:w="80" w:type="dxa"/>
              <w:left w:w="100" w:type="dxa"/>
              <w:bottom w:w="80" w:type="dxa"/>
              <w:right w:w="100" w:type="dxa"/>
            </w:tcMar>
            <w:vAlign w:val="center"/>
          </w:tcPr>
          <w:p w14:paraId="35CB0772" w14:textId="77777777" w:rsidR="008E7599" w:rsidRDefault="0092784B">
            <w:r>
              <w:rPr>
                <w:b/>
                <w:bCs/>
                <w:color w:val="FFFFFF"/>
                <w:sz w:val="19"/>
                <w:szCs w:val="19"/>
              </w:rPr>
              <w:t>How the Architecture Addresses It</w:t>
            </w:r>
          </w:p>
        </w:tc>
      </w:tr>
      <w:tr w:rsidR="008E7599" w14:paraId="37672392" w14:textId="77777777">
        <w:tblPrEx>
          <w:tblCellMar>
            <w:top w:w="0" w:type="dxa"/>
            <w:bottom w:w="0" w:type="dxa"/>
          </w:tblCellMar>
        </w:tblPrEx>
        <w:tc>
          <w:tcPr>
            <w:tcW w:w="2200" w:type="dxa"/>
            <w:tcMar>
              <w:top w:w="80" w:type="dxa"/>
              <w:left w:w="100" w:type="dxa"/>
              <w:bottom w:w="80" w:type="dxa"/>
              <w:right w:w="100" w:type="dxa"/>
            </w:tcMar>
            <w:vAlign w:val="center"/>
          </w:tcPr>
          <w:p w14:paraId="3D2CA201" w14:textId="77777777" w:rsidR="008E7599" w:rsidRDefault="0092784B">
            <w:r>
              <w:rPr>
                <w:color w:val="000000"/>
                <w:sz w:val="19"/>
                <w:szCs w:val="19"/>
              </w:rPr>
              <w:t>Scalability</w:t>
            </w:r>
          </w:p>
        </w:tc>
        <w:tc>
          <w:tcPr>
            <w:tcW w:w="6826" w:type="dxa"/>
            <w:tcMar>
              <w:top w:w="80" w:type="dxa"/>
              <w:left w:w="100" w:type="dxa"/>
              <w:bottom w:w="80" w:type="dxa"/>
              <w:right w:w="100" w:type="dxa"/>
            </w:tcMar>
            <w:vAlign w:val="center"/>
          </w:tcPr>
          <w:p w14:paraId="744FE091" w14:textId="77777777" w:rsidR="008E7599" w:rsidRDefault="0092784B">
            <w:r>
              <w:rPr>
                <w:color w:val="000000"/>
                <w:sz w:val="19"/>
                <w:szCs w:val="19"/>
              </w:rPr>
              <w:t>Each microservice scales independently — Sensor Data Ingestion can be scaled up during heavy rainfall while Reporting stays at baseline capacity — and the Event Bus absorbs traffic bursts so downstream consumers are not overwhelmed.</w:t>
            </w:r>
          </w:p>
        </w:tc>
      </w:tr>
      <w:tr w:rsidR="008E7599" w14:paraId="187E4B69" w14:textId="77777777">
        <w:tblPrEx>
          <w:tblCellMar>
            <w:top w:w="0" w:type="dxa"/>
            <w:bottom w:w="0" w:type="dxa"/>
          </w:tblCellMar>
        </w:tblPrEx>
        <w:tc>
          <w:tcPr>
            <w:tcW w:w="2200" w:type="dxa"/>
            <w:shd w:val="clear" w:color="auto" w:fill="DCE9F2"/>
            <w:tcMar>
              <w:top w:w="80" w:type="dxa"/>
              <w:left w:w="100" w:type="dxa"/>
              <w:bottom w:w="80" w:type="dxa"/>
              <w:right w:w="100" w:type="dxa"/>
            </w:tcMar>
            <w:vAlign w:val="center"/>
          </w:tcPr>
          <w:p w14:paraId="0ACC6C7D" w14:textId="77777777" w:rsidR="008E7599" w:rsidRDefault="0092784B">
            <w:r>
              <w:rPr>
                <w:color w:val="000000"/>
                <w:sz w:val="19"/>
                <w:szCs w:val="19"/>
              </w:rPr>
              <w:t>Security</w:t>
            </w:r>
          </w:p>
        </w:tc>
        <w:tc>
          <w:tcPr>
            <w:tcW w:w="6826" w:type="dxa"/>
            <w:shd w:val="clear" w:color="auto" w:fill="DCE9F2"/>
            <w:tcMar>
              <w:top w:w="80" w:type="dxa"/>
              <w:left w:w="100" w:type="dxa"/>
              <w:bottom w:w="80" w:type="dxa"/>
              <w:right w:w="100" w:type="dxa"/>
            </w:tcMar>
            <w:vAlign w:val="center"/>
          </w:tcPr>
          <w:p w14:paraId="5F6A9FB8" w14:textId="77777777" w:rsidR="008E7599" w:rsidRDefault="0092784B">
            <w:r>
              <w:rPr>
                <w:color w:val="000000"/>
                <w:sz w:val="19"/>
                <w:szCs w:val="19"/>
              </w:rPr>
              <w:t>The API Gateway centralizes authentication and authorization so every client request is checked consistently in one place; internal service traffic stays on the private network; data in transit is encrypted.</w:t>
            </w:r>
          </w:p>
        </w:tc>
      </w:tr>
      <w:tr w:rsidR="008E7599" w14:paraId="2B6DCD0B" w14:textId="77777777">
        <w:tblPrEx>
          <w:tblCellMar>
            <w:top w:w="0" w:type="dxa"/>
            <w:bottom w:w="0" w:type="dxa"/>
          </w:tblCellMar>
        </w:tblPrEx>
        <w:tc>
          <w:tcPr>
            <w:tcW w:w="2200" w:type="dxa"/>
            <w:tcMar>
              <w:top w:w="80" w:type="dxa"/>
              <w:left w:w="100" w:type="dxa"/>
              <w:bottom w:w="80" w:type="dxa"/>
              <w:right w:w="100" w:type="dxa"/>
            </w:tcMar>
            <w:vAlign w:val="center"/>
          </w:tcPr>
          <w:p w14:paraId="401FAE65" w14:textId="77777777" w:rsidR="008E7599" w:rsidRDefault="0092784B">
            <w:r>
              <w:rPr>
                <w:color w:val="000000"/>
                <w:sz w:val="19"/>
                <w:szCs w:val="19"/>
              </w:rPr>
              <w:t>Performance</w:t>
            </w:r>
          </w:p>
        </w:tc>
        <w:tc>
          <w:tcPr>
            <w:tcW w:w="6826" w:type="dxa"/>
            <w:tcMar>
              <w:top w:w="80" w:type="dxa"/>
              <w:left w:w="100" w:type="dxa"/>
              <w:bottom w:w="80" w:type="dxa"/>
              <w:right w:w="100" w:type="dxa"/>
            </w:tcMar>
            <w:vAlign w:val="center"/>
          </w:tcPr>
          <w:p w14:paraId="1A723BD3" w14:textId="77777777" w:rsidR="008E7599" w:rsidRDefault="0092784B">
            <w:r>
              <w:rPr>
                <w:color w:val="000000"/>
                <w:sz w:val="19"/>
                <w:szCs w:val="19"/>
              </w:rPr>
              <w:t>Asynchronous event processing lets ingestion keep accepting data even while prediction or alerting is momentarily busy, keeping sensor-to-alert latency low and consistent.</w:t>
            </w:r>
          </w:p>
        </w:tc>
      </w:tr>
      <w:tr w:rsidR="008E7599" w14:paraId="34CC997C" w14:textId="77777777">
        <w:tblPrEx>
          <w:tblCellMar>
            <w:top w:w="0" w:type="dxa"/>
            <w:bottom w:w="0" w:type="dxa"/>
          </w:tblCellMar>
        </w:tblPrEx>
        <w:tc>
          <w:tcPr>
            <w:tcW w:w="2200" w:type="dxa"/>
            <w:shd w:val="clear" w:color="auto" w:fill="DCE9F2"/>
            <w:tcMar>
              <w:top w:w="80" w:type="dxa"/>
              <w:left w:w="100" w:type="dxa"/>
              <w:bottom w:w="80" w:type="dxa"/>
              <w:right w:w="100" w:type="dxa"/>
            </w:tcMar>
            <w:vAlign w:val="center"/>
          </w:tcPr>
          <w:p w14:paraId="2E5FEC19" w14:textId="77777777" w:rsidR="008E7599" w:rsidRDefault="0092784B">
            <w:r>
              <w:rPr>
                <w:color w:val="000000"/>
                <w:sz w:val="19"/>
                <w:szCs w:val="19"/>
              </w:rPr>
              <w:t>Reliability</w:t>
            </w:r>
          </w:p>
        </w:tc>
        <w:tc>
          <w:tcPr>
            <w:tcW w:w="6826" w:type="dxa"/>
            <w:shd w:val="clear" w:color="auto" w:fill="DCE9F2"/>
            <w:tcMar>
              <w:top w:w="80" w:type="dxa"/>
              <w:left w:w="100" w:type="dxa"/>
              <w:bottom w:w="80" w:type="dxa"/>
              <w:right w:w="100" w:type="dxa"/>
            </w:tcMar>
            <w:vAlign w:val="center"/>
          </w:tcPr>
          <w:p w14:paraId="30F15167" w14:textId="77777777" w:rsidR="008E7599" w:rsidRDefault="0092784B">
            <w:r>
              <w:rPr>
                <w:color w:val="000000"/>
                <w:sz w:val="19"/>
                <w:szCs w:val="19"/>
              </w:rPr>
              <w:t>Decoupling through the Event Bus means a temporary fault in one service (e.g., Reporting) does not block others (e.g., Alerting); a recovering service can resume consuming events it missed.</w:t>
            </w:r>
          </w:p>
        </w:tc>
      </w:tr>
      <w:tr w:rsidR="008E7599" w14:paraId="2A7E0D07" w14:textId="77777777">
        <w:tblPrEx>
          <w:tblCellMar>
            <w:top w:w="0" w:type="dxa"/>
            <w:bottom w:w="0" w:type="dxa"/>
          </w:tblCellMar>
        </w:tblPrEx>
        <w:tc>
          <w:tcPr>
            <w:tcW w:w="2200" w:type="dxa"/>
            <w:tcMar>
              <w:top w:w="80" w:type="dxa"/>
              <w:left w:w="100" w:type="dxa"/>
              <w:bottom w:w="80" w:type="dxa"/>
              <w:right w:w="100" w:type="dxa"/>
            </w:tcMar>
            <w:vAlign w:val="center"/>
          </w:tcPr>
          <w:p w14:paraId="28290550" w14:textId="77777777" w:rsidR="008E7599" w:rsidRDefault="0092784B">
            <w:r>
              <w:rPr>
                <w:color w:val="000000"/>
                <w:sz w:val="19"/>
                <w:szCs w:val="19"/>
              </w:rPr>
              <w:t>Maintainability</w:t>
            </w:r>
          </w:p>
        </w:tc>
        <w:tc>
          <w:tcPr>
            <w:tcW w:w="6826" w:type="dxa"/>
            <w:tcMar>
              <w:top w:w="80" w:type="dxa"/>
              <w:left w:w="100" w:type="dxa"/>
              <w:bottom w:w="80" w:type="dxa"/>
              <w:right w:w="100" w:type="dxa"/>
            </w:tcMar>
            <w:vAlign w:val="center"/>
          </w:tcPr>
          <w:p w14:paraId="48BD8AAE" w14:textId="77777777" w:rsidR="008E7599" w:rsidRDefault="0092784B">
            <w:r>
              <w:rPr>
                <w:color w:val="000000"/>
                <w:sz w:val="19"/>
                <w:szCs w:val="19"/>
              </w:rPr>
              <w:t>Each service owns a single, well-defined responsibility and its own codebase and deployment, so the AI model, GIS layer, or alerting rules can be updated independently.</w:t>
            </w:r>
          </w:p>
        </w:tc>
      </w:tr>
      <w:tr w:rsidR="008E7599" w14:paraId="51103961" w14:textId="77777777">
        <w:tblPrEx>
          <w:tblCellMar>
            <w:top w:w="0" w:type="dxa"/>
            <w:bottom w:w="0" w:type="dxa"/>
          </w:tblCellMar>
        </w:tblPrEx>
        <w:tc>
          <w:tcPr>
            <w:tcW w:w="2200" w:type="dxa"/>
            <w:shd w:val="clear" w:color="auto" w:fill="DCE9F2"/>
            <w:tcMar>
              <w:top w:w="80" w:type="dxa"/>
              <w:left w:w="100" w:type="dxa"/>
              <w:bottom w:w="80" w:type="dxa"/>
              <w:right w:w="100" w:type="dxa"/>
            </w:tcMar>
            <w:vAlign w:val="center"/>
          </w:tcPr>
          <w:p w14:paraId="40C69AE3" w14:textId="77777777" w:rsidR="008E7599" w:rsidRDefault="0092784B">
            <w:r>
              <w:rPr>
                <w:color w:val="000000"/>
                <w:sz w:val="19"/>
                <w:szCs w:val="19"/>
              </w:rPr>
              <w:t>Availability</w:t>
            </w:r>
          </w:p>
        </w:tc>
        <w:tc>
          <w:tcPr>
            <w:tcW w:w="6826" w:type="dxa"/>
            <w:shd w:val="clear" w:color="auto" w:fill="DCE9F2"/>
            <w:tcMar>
              <w:top w:w="80" w:type="dxa"/>
              <w:left w:w="100" w:type="dxa"/>
              <w:bottom w:w="80" w:type="dxa"/>
              <w:right w:w="100" w:type="dxa"/>
            </w:tcMar>
            <w:vAlign w:val="center"/>
          </w:tcPr>
          <w:p w14:paraId="1E30CC09" w14:textId="77777777" w:rsidR="008E7599" w:rsidRDefault="0092784B">
            <w:r>
              <w:rPr>
                <w:color w:val="000000"/>
                <w:sz w:val="19"/>
                <w:szCs w:val="19"/>
              </w:rPr>
              <w:t>Critical services — Prediction and Alerting — can run multiple redundant instances behind the Gateway and Bus; an outage in a non-critical service does not take down core monitoring functionality.</w:t>
            </w:r>
          </w:p>
        </w:tc>
      </w:tr>
    </w:tbl>
    <w:p w14:paraId="76761C58" w14:textId="77777777" w:rsidR="008E7599" w:rsidRDefault="0092784B">
      <w:pPr>
        <w:pStyle w:val="Heading2"/>
      </w:pPr>
      <w:r>
        <w:t>5.1 Quality Attribute Scenarios</w:t>
      </w:r>
    </w:p>
    <w:p w14:paraId="2C2A6191" w14:textId="77777777" w:rsidR="008E7599" w:rsidRDefault="0092784B">
      <w:pPr>
        <w:spacing w:after="160" w:line="276" w:lineRule="auto"/>
      </w:pPr>
      <w:r>
        <w:t>To make the evaluation concrete, the table below states a representative stimulus for each attribute and the architecture's expected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8E7599" w14:paraId="560DE535" w14:textId="77777777">
        <w:tblPrEx>
          <w:tblCellMar>
            <w:top w:w="0" w:type="dxa"/>
            <w:bottom w:w="0" w:type="dxa"/>
          </w:tblCellMar>
        </w:tblPrEx>
        <w:trPr>
          <w:tblHeader/>
        </w:trPr>
        <w:tc>
          <w:tcPr>
            <w:tcW w:w="1700" w:type="dxa"/>
            <w:shd w:val="clear" w:color="auto" w:fill="1F3B57"/>
            <w:tcMar>
              <w:top w:w="80" w:type="dxa"/>
              <w:left w:w="100" w:type="dxa"/>
              <w:bottom w:w="80" w:type="dxa"/>
              <w:right w:w="100" w:type="dxa"/>
            </w:tcMar>
            <w:vAlign w:val="center"/>
          </w:tcPr>
          <w:p w14:paraId="70EDCC6B" w14:textId="77777777" w:rsidR="008E7599" w:rsidRDefault="0092784B">
            <w:r>
              <w:rPr>
                <w:b/>
                <w:bCs/>
                <w:color w:val="FFFFFF"/>
                <w:sz w:val="19"/>
                <w:szCs w:val="19"/>
              </w:rPr>
              <w:t>Attribute</w:t>
            </w:r>
          </w:p>
        </w:tc>
        <w:tc>
          <w:tcPr>
            <w:tcW w:w="3663" w:type="dxa"/>
            <w:shd w:val="clear" w:color="auto" w:fill="1F3B57"/>
            <w:tcMar>
              <w:top w:w="80" w:type="dxa"/>
              <w:left w:w="100" w:type="dxa"/>
              <w:bottom w:w="80" w:type="dxa"/>
              <w:right w:w="100" w:type="dxa"/>
            </w:tcMar>
            <w:vAlign w:val="center"/>
          </w:tcPr>
          <w:p w14:paraId="6DC80F6B" w14:textId="77777777" w:rsidR="008E7599" w:rsidRDefault="0092784B">
            <w:r>
              <w:rPr>
                <w:b/>
                <w:bCs/>
                <w:color w:val="FFFFFF"/>
                <w:sz w:val="19"/>
                <w:szCs w:val="19"/>
              </w:rPr>
              <w:t>Stimulus</w:t>
            </w:r>
          </w:p>
        </w:tc>
        <w:tc>
          <w:tcPr>
            <w:tcW w:w="3663" w:type="dxa"/>
            <w:shd w:val="clear" w:color="auto" w:fill="1F3B57"/>
            <w:tcMar>
              <w:top w:w="80" w:type="dxa"/>
              <w:left w:w="100" w:type="dxa"/>
              <w:bottom w:w="80" w:type="dxa"/>
              <w:right w:w="100" w:type="dxa"/>
            </w:tcMar>
            <w:vAlign w:val="center"/>
          </w:tcPr>
          <w:p w14:paraId="2F04611A" w14:textId="77777777" w:rsidR="008E7599" w:rsidRDefault="0092784B">
            <w:r>
              <w:rPr>
                <w:b/>
                <w:bCs/>
                <w:color w:val="FFFFFF"/>
                <w:sz w:val="19"/>
                <w:szCs w:val="19"/>
              </w:rPr>
              <w:t>Expected Response</w:t>
            </w:r>
          </w:p>
        </w:tc>
      </w:tr>
      <w:tr w:rsidR="008E7599" w14:paraId="0E606785" w14:textId="77777777">
        <w:tblPrEx>
          <w:tblCellMar>
            <w:top w:w="0" w:type="dxa"/>
            <w:bottom w:w="0" w:type="dxa"/>
          </w:tblCellMar>
        </w:tblPrEx>
        <w:tc>
          <w:tcPr>
            <w:tcW w:w="1700" w:type="dxa"/>
            <w:tcMar>
              <w:top w:w="80" w:type="dxa"/>
              <w:left w:w="100" w:type="dxa"/>
              <w:bottom w:w="80" w:type="dxa"/>
              <w:right w:w="100" w:type="dxa"/>
            </w:tcMar>
            <w:vAlign w:val="center"/>
          </w:tcPr>
          <w:p w14:paraId="6E1EF605" w14:textId="77777777" w:rsidR="008E7599" w:rsidRDefault="0092784B">
            <w:r>
              <w:rPr>
                <w:color w:val="000000"/>
                <w:sz w:val="19"/>
                <w:szCs w:val="19"/>
              </w:rPr>
              <w:t>Scalability</w:t>
            </w:r>
          </w:p>
        </w:tc>
        <w:tc>
          <w:tcPr>
            <w:tcW w:w="3663" w:type="dxa"/>
            <w:tcMar>
              <w:top w:w="80" w:type="dxa"/>
              <w:left w:w="100" w:type="dxa"/>
              <w:bottom w:w="80" w:type="dxa"/>
              <w:right w:w="100" w:type="dxa"/>
            </w:tcMar>
            <w:vAlign w:val="center"/>
          </w:tcPr>
          <w:p w14:paraId="34D120DE" w14:textId="77777777" w:rsidR="008E7599" w:rsidRDefault="0092784B">
            <w:r>
              <w:rPr>
                <w:color w:val="000000"/>
                <w:sz w:val="19"/>
                <w:szCs w:val="19"/>
              </w:rPr>
              <w:t>Sensor count grows from roughly 500 to 5,000 during city-wide rollout.</w:t>
            </w:r>
          </w:p>
        </w:tc>
        <w:tc>
          <w:tcPr>
            <w:tcW w:w="3663" w:type="dxa"/>
            <w:tcMar>
              <w:top w:w="80" w:type="dxa"/>
              <w:left w:w="100" w:type="dxa"/>
              <w:bottom w:w="80" w:type="dxa"/>
              <w:right w:w="100" w:type="dxa"/>
            </w:tcMar>
            <w:vAlign w:val="center"/>
          </w:tcPr>
          <w:p w14:paraId="55E6B2A6" w14:textId="77777777" w:rsidR="008E7599" w:rsidRDefault="0092784B">
            <w:r>
              <w:rPr>
                <w:color w:val="000000"/>
                <w:sz w:val="19"/>
                <w:szCs w:val="19"/>
              </w:rPr>
              <w:t>Ingestion and Prediction services scale horizontally to maintain sub-2-minute prediction refresh without redesign.</w:t>
            </w:r>
          </w:p>
        </w:tc>
      </w:tr>
      <w:tr w:rsidR="008E7599" w14:paraId="5EB6CF82" w14:textId="77777777">
        <w:tblPrEx>
          <w:tblCellMar>
            <w:top w:w="0" w:type="dxa"/>
            <w:bottom w:w="0" w:type="dxa"/>
          </w:tblCellMar>
        </w:tblPrEx>
        <w:tc>
          <w:tcPr>
            <w:tcW w:w="1700" w:type="dxa"/>
            <w:shd w:val="clear" w:color="auto" w:fill="DCE9F2"/>
            <w:tcMar>
              <w:top w:w="80" w:type="dxa"/>
              <w:left w:w="100" w:type="dxa"/>
              <w:bottom w:w="80" w:type="dxa"/>
              <w:right w:w="100" w:type="dxa"/>
            </w:tcMar>
            <w:vAlign w:val="center"/>
          </w:tcPr>
          <w:p w14:paraId="23700B4C" w14:textId="77777777" w:rsidR="008E7599" w:rsidRDefault="0092784B">
            <w:r>
              <w:rPr>
                <w:color w:val="000000"/>
                <w:sz w:val="19"/>
                <w:szCs w:val="19"/>
              </w:rPr>
              <w:t>Availability</w:t>
            </w:r>
          </w:p>
        </w:tc>
        <w:tc>
          <w:tcPr>
            <w:tcW w:w="3663" w:type="dxa"/>
            <w:shd w:val="clear" w:color="auto" w:fill="DCE9F2"/>
            <w:tcMar>
              <w:top w:w="80" w:type="dxa"/>
              <w:left w:w="100" w:type="dxa"/>
              <w:bottom w:w="80" w:type="dxa"/>
              <w:right w:w="100" w:type="dxa"/>
            </w:tcMar>
            <w:vAlign w:val="center"/>
          </w:tcPr>
          <w:p w14:paraId="1C6E1C02" w14:textId="77777777" w:rsidR="008E7599" w:rsidRDefault="0092784B">
            <w:r>
              <w:rPr>
                <w:color w:val="000000"/>
                <w:sz w:val="19"/>
                <w:szCs w:val="19"/>
              </w:rPr>
              <w:t>The Alerting service instance fails during an active flood event.</w:t>
            </w:r>
          </w:p>
        </w:tc>
        <w:tc>
          <w:tcPr>
            <w:tcW w:w="3663" w:type="dxa"/>
            <w:shd w:val="clear" w:color="auto" w:fill="DCE9F2"/>
            <w:tcMar>
              <w:top w:w="80" w:type="dxa"/>
              <w:left w:w="100" w:type="dxa"/>
              <w:bottom w:w="80" w:type="dxa"/>
              <w:right w:w="100" w:type="dxa"/>
            </w:tcMar>
            <w:vAlign w:val="center"/>
          </w:tcPr>
          <w:p w14:paraId="47353172" w14:textId="77777777" w:rsidR="008E7599" w:rsidRDefault="0092784B">
            <w:r>
              <w:rPr>
                <w:color w:val="000000"/>
                <w:sz w:val="19"/>
                <w:szCs w:val="19"/>
              </w:rPr>
              <w:t>A redundant instance takes over within seconds; no alert is lost because messages remain queued on the Event Bus.</w:t>
            </w:r>
          </w:p>
        </w:tc>
      </w:tr>
      <w:tr w:rsidR="008E7599" w14:paraId="615A5C98" w14:textId="77777777">
        <w:tblPrEx>
          <w:tblCellMar>
            <w:top w:w="0" w:type="dxa"/>
            <w:bottom w:w="0" w:type="dxa"/>
          </w:tblCellMar>
        </w:tblPrEx>
        <w:tc>
          <w:tcPr>
            <w:tcW w:w="1700" w:type="dxa"/>
            <w:tcMar>
              <w:top w:w="80" w:type="dxa"/>
              <w:left w:w="100" w:type="dxa"/>
              <w:bottom w:w="80" w:type="dxa"/>
              <w:right w:w="100" w:type="dxa"/>
            </w:tcMar>
            <w:vAlign w:val="center"/>
          </w:tcPr>
          <w:p w14:paraId="26439A0D" w14:textId="77777777" w:rsidR="008E7599" w:rsidRDefault="0092784B">
            <w:r>
              <w:rPr>
                <w:color w:val="000000"/>
                <w:sz w:val="19"/>
                <w:szCs w:val="19"/>
              </w:rPr>
              <w:t>Performance</w:t>
            </w:r>
          </w:p>
        </w:tc>
        <w:tc>
          <w:tcPr>
            <w:tcW w:w="3663" w:type="dxa"/>
            <w:tcMar>
              <w:top w:w="80" w:type="dxa"/>
              <w:left w:w="100" w:type="dxa"/>
              <w:bottom w:w="80" w:type="dxa"/>
              <w:right w:w="100" w:type="dxa"/>
            </w:tcMar>
            <w:vAlign w:val="center"/>
          </w:tcPr>
          <w:p w14:paraId="0A79A6D0" w14:textId="77777777" w:rsidR="008E7599" w:rsidRDefault="0092784B">
            <w:r>
              <w:rPr>
                <w:color w:val="000000"/>
                <w:sz w:val="19"/>
                <w:szCs w:val="19"/>
              </w:rPr>
              <w:t>Hundreds of sensors report simultaneously during heavy rainfall.</w:t>
            </w:r>
          </w:p>
        </w:tc>
        <w:tc>
          <w:tcPr>
            <w:tcW w:w="3663" w:type="dxa"/>
            <w:tcMar>
              <w:top w:w="80" w:type="dxa"/>
              <w:left w:w="100" w:type="dxa"/>
              <w:bottom w:w="80" w:type="dxa"/>
              <w:right w:w="100" w:type="dxa"/>
            </w:tcMar>
            <w:vAlign w:val="center"/>
          </w:tcPr>
          <w:p w14:paraId="780134FA" w14:textId="77777777" w:rsidR="008E7599" w:rsidRDefault="0092784B">
            <w:r>
              <w:rPr>
                <w:color w:val="000000"/>
                <w:sz w:val="19"/>
                <w:szCs w:val="19"/>
              </w:rPr>
              <w:t>The Event Bus buffers the burst; the Ingestion Service processes and persists all readings without dropping data.</w:t>
            </w:r>
          </w:p>
        </w:tc>
      </w:tr>
      <w:tr w:rsidR="008E7599" w14:paraId="74A9B358" w14:textId="77777777">
        <w:tblPrEx>
          <w:tblCellMar>
            <w:top w:w="0" w:type="dxa"/>
            <w:bottom w:w="0" w:type="dxa"/>
          </w:tblCellMar>
        </w:tblPrEx>
        <w:tc>
          <w:tcPr>
            <w:tcW w:w="1700" w:type="dxa"/>
            <w:shd w:val="clear" w:color="auto" w:fill="DCE9F2"/>
            <w:tcMar>
              <w:top w:w="80" w:type="dxa"/>
              <w:left w:w="100" w:type="dxa"/>
              <w:bottom w:w="80" w:type="dxa"/>
              <w:right w:w="100" w:type="dxa"/>
            </w:tcMar>
            <w:vAlign w:val="center"/>
          </w:tcPr>
          <w:p w14:paraId="629F2422" w14:textId="77777777" w:rsidR="008E7599" w:rsidRDefault="0092784B">
            <w:r>
              <w:rPr>
                <w:color w:val="000000"/>
                <w:sz w:val="19"/>
                <w:szCs w:val="19"/>
              </w:rPr>
              <w:t>Security</w:t>
            </w:r>
          </w:p>
        </w:tc>
        <w:tc>
          <w:tcPr>
            <w:tcW w:w="3663" w:type="dxa"/>
            <w:shd w:val="clear" w:color="auto" w:fill="DCE9F2"/>
            <w:tcMar>
              <w:top w:w="80" w:type="dxa"/>
              <w:left w:w="100" w:type="dxa"/>
              <w:bottom w:w="80" w:type="dxa"/>
              <w:right w:w="100" w:type="dxa"/>
            </w:tcMar>
            <w:vAlign w:val="center"/>
          </w:tcPr>
          <w:p w14:paraId="0E3A224B" w14:textId="77777777" w:rsidR="008E7599" w:rsidRDefault="0092784B">
            <w:r>
              <w:rPr>
                <w:color w:val="000000"/>
                <w:sz w:val="19"/>
                <w:szCs w:val="19"/>
              </w:rPr>
              <w:t>An unauthenticated request attempts to call an internal service directly.</w:t>
            </w:r>
          </w:p>
        </w:tc>
        <w:tc>
          <w:tcPr>
            <w:tcW w:w="3663" w:type="dxa"/>
            <w:shd w:val="clear" w:color="auto" w:fill="DCE9F2"/>
            <w:tcMar>
              <w:top w:w="80" w:type="dxa"/>
              <w:left w:w="100" w:type="dxa"/>
              <w:bottom w:w="80" w:type="dxa"/>
              <w:right w:w="100" w:type="dxa"/>
            </w:tcMar>
            <w:vAlign w:val="center"/>
          </w:tcPr>
          <w:p w14:paraId="674246F9" w14:textId="77777777" w:rsidR="008E7599" w:rsidRDefault="0092784B">
            <w:r>
              <w:rPr>
                <w:color w:val="000000"/>
                <w:sz w:val="19"/>
                <w:szCs w:val="19"/>
              </w:rPr>
              <w:t>The request is rejected at the API Gateway; internal services remain unreachable from outside the private network.</w:t>
            </w:r>
          </w:p>
        </w:tc>
      </w:tr>
      <w:tr w:rsidR="008E7599" w14:paraId="31A656D8" w14:textId="77777777">
        <w:tblPrEx>
          <w:tblCellMar>
            <w:top w:w="0" w:type="dxa"/>
            <w:bottom w:w="0" w:type="dxa"/>
          </w:tblCellMar>
        </w:tblPrEx>
        <w:tc>
          <w:tcPr>
            <w:tcW w:w="1700" w:type="dxa"/>
            <w:tcMar>
              <w:top w:w="80" w:type="dxa"/>
              <w:left w:w="100" w:type="dxa"/>
              <w:bottom w:w="80" w:type="dxa"/>
              <w:right w:w="100" w:type="dxa"/>
            </w:tcMar>
            <w:vAlign w:val="center"/>
          </w:tcPr>
          <w:p w14:paraId="2D521E99" w14:textId="77777777" w:rsidR="008E7599" w:rsidRDefault="0092784B">
            <w:r>
              <w:rPr>
                <w:color w:val="000000"/>
                <w:sz w:val="19"/>
                <w:szCs w:val="19"/>
              </w:rPr>
              <w:t>Reliability</w:t>
            </w:r>
          </w:p>
        </w:tc>
        <w:tc>
          <w:tcPr>
            <w:tcW w:w="3663" w:type="dxa"/>
            <w:tcMar>
              <w:top w:w="80" w:type="dxa"/>
              <w:left w:w="100" w:type="dxa"/>
              <w:bottom w:w="80" w:type="dxa"/>
              <w:right w:w="100" w:type="dxa"/>
            </w:tcMar>
            <w:vAlign w:val="center"/>
          </w:tcPr>
          <w:p w14:paraId="426C8F26" w14:textId="77777777" w:rsidR="008E7599" w:rsidRDefault="0092784B">
            <w:r>
              <w:rPr>
                <w:color w:val="000000"/>
                <w:sz w:val="19"/>
                <w:szCs w:val="19"/>
              </w:rPr>
              <w:t>The Reporting &amp; Analytics Service is taken down for maintenance.</w:t>
            </w:r>
          </w:p>
        </w:tc>
        <w:tc>
          <w:tcPr>
            <w:tcW w:w="3663" w:type="dxa"/>
            <w:tcMar>
              <w:top w:w="80" w:type="dxa"/>
              <w:left w:w="100" w:type="dxa"/>
              <w:bottom w:w="80" w:type="dxa"/>
              <w:right w:w="100" w:type="dxa"/>
            </w:tcMar>
            <w:vAlign w:val="center"/>
          </w:tcPr>
          <w:p w14:paraId="59BC8E27" w14:textId="77777777" w:rsidR="008E7599" w:rsidRDefault="0092784B">
            <w:r>
              <w:rPr>
                <w:color w:val="000000"/>
                <w:sz w:val="19"/>
                <w:szCs w:val="19"/>
              </w:rPr>
              <w:t>Ingestion, prediction, and alerting continue unaffected; Reporting resumes from the Event Bus once restored.</w:t>
            </w:r>
          </w:p>
        </w:tc>
      </w:tr>
      <w:tr w:rsidR="008E7599" w14:paraId="61B47964" w14:textId="77777777">
        <w:tblPrEx>
          <w:tblCellMar>
            <w:top w:w="0" w:type="dxa"/>
            <w:bottom w:w="0" w:type="dxa"/>
          </w:tblCellMar>
        </w:tblPrEx>
        <w:tc>
          <w:tcPr>
            <w:tcW w:w="1700" w:type="dxa"/>
            <w:shd w:val="clear" w:color="auto" w:fill="DCE9F2"/>
            <w:tcMar>
              <w:top w:w="80" w:type="dxa"/>
              <w:left w:w="100" w:type="dxa"/>
              <w:bottom w:w="80" w:type="dxa"/>
              <w:right w:w="100" w:type="dxa"/>
            </w:tcMar>
            <w:vAlign w:val="center"/>
          </w:tcPr>
          <w:p w14:paraId="555E6CCA" w14:textId="77777777" w:rsidR="008E7599" w:rsidRDefault="0092784B">
            <w:r>
              <w:rPr>
                <w:color w:val="000000"/>
                <w:sz w:val="19"/>
                <w:szCs w:val="19"/>
              </w:rPr>
              <w:t>Maintainability</w:t>
            </w:r>
          </w:p>
        </w:tc>
        <w:tc>
          <w:tcPr>
            <w:tcW w:w="3663" w:type="dxa"/>
            <w:shd w:val="clear" w:color="auto" w:fill="DCE9F2"/>
            <w:tcMar>
              <w:top w:w="80" w:type="dxa"/>
              <w:left w:w="100" w:type="dxa"/>
              <w:bottom w:w="80" w:type="dxa"/>
              <w:right w:w="100" w:type="dxa"/>
            </w:tcMar>
            <w:vAlign w:val="center"/>
          </w:tcPr>
          <w:p w14:paraId="228076CC" w14:textId="77777777" w:rsidR="008E7599" w:rsidRDefault="0092784B">
            <w:r>
              <w:rPr>
                <w:color w:val="000000"/>
                <w:sz w:val="19"/>
                <w:szCs w:val="19"/>
              </w:rPr>
              <w:t>The AI prediction model needs retraining and redeployment.</w:t>
            </w:r>
          </w:p>
        </w:tc>
        <w:tc>
          <w:tcPr>
            <w:tcW w:w="3663" w:type="dxa"/>
            <w:shd w:val="clear" w:color="auto" w:fill="DCE9F2"/>
            <w:tcMar>
              <w:top w:w="80" w:type="dxa"/>
              <w:left w:w="100" w:type="dxa"/>
              <w:bottom w:w="80" w:type="dxa"/>
              <w:right w:w="100" w:type="dxa"/>
            </w:tcMar>
            <w:vAlign w:val="center"/>
          </w:tcPr>
          <w:p w14:paraId="355A3BCA" w14:textId="77777777" w:rsidR="008E7599" w:rsidRDefault="0092784B">
            <w:r>
              <w:rPr>
                <w:color w:val="000000"/>
                <w:sz w:val="19"/>
                <w:szCs w:val="19"/>
              </w:rPr>
              <w:t>Only the AI Flood Prediction Service is redeployed; no other service requires a code change.</w:t>
            </w:r>
          </w:p>
        </w:tc>
      </w:tr>
    </w:tbl>
    <w:p w14:paraId="63A1D654" w14:textId="77777777" w:rsidR="008E7599" w:rsidRDefault="0092784B">
      <w:pPr>
        <w:pStyle w:val="Heading1"/>
      </w:pPr>
      <w:r>
        <w:t>6. Justification of Architectural Decisions</w:t>
      </w:r>
    </w:p>
    <w:p w14:paraId="52A84F06" w14:textId="77777777" w:rsidR="008E7599" w:rsidRDefault="0092784B">
      <w:pPr>
        <w:pStyle w:val="Heading2"/>
      </w:pPr>
      <w:r>
        <w:t>6.1 Rationale and Trade-offs</w:t>
      </w:r>
    </w:p>
    <w:p w14:paraId="1DEC7259" w14:textId="77777777" w:rsidR="008E7599" w:rsidRDefault="0092784B">
      <w:pPr>
        <w:spacing w:after="160" w:line="276" w:lineRule="auto"/>
      </w:pPr>
      <w:r>
        <w:lastRenderedPageBreak/>
        <w:t>The chosen hybrid architecture was compared against the alternative styles below. The comparison confirms that no single pure style matches the scenario's combination of continuous IoT streaming, independently-evolving modules, and safety-critical alerting as well as the selected combination does.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8E7599" w14:paraId="501DA688" w14:textId="77777777">
        <w:tblPrEx>
          <w:tblCellMar>
            <w:top w:w="0" w:type="dxa"/>
            <w:bottom w:w="0" w:type="dxa"/>
          </w:tblCellMar>
        </w:tblPrEx>
        <w:trPr>
          <w:tblHeader/>
        </w:trPr>
        <w:tc>
          <w:tcPr>
            <w:tcW w:w="2200" w:type="dxa"/>
            <w:shd w:val="clear" w:color="auto" w:fill="1F3B57"/>
            <w:tcMar>
              <w:top w:w="80" w:type="dxa"/>
              <w:left w:w="100" w:type="dxa"/>
              <w:bottom w:w="80" w:type="dxa"/>
              <w:right w:w="100" w:type="dxa"/>
            </w:tcMar>
            <w:vAlign w:val="center"/>
          </w:tcPr>
          <w:p w14:paraId="12EB79A8" w14:textId="77777777" w:rsidR="008E7599" w:rsidRDefault="0092784B">
            <w:r>
              <w:rPr>
                <w:b/>
                <w:bCs/>
                <w:color w:val="FFFFFF"/>
                <w:sz w:val="19"/>
                <w:szCs w:val="19"/>
              </w:rPr>
              <w:t>Architectural Style</w:t>
            </w:r>
          </w:p>
        </w:tc>
        <w:tc>
          <w:tcPr>
            <w:tcW w:w="3200" w:type="dxa"/>
            <w:shd w:val="clear" w:color="auto" w:fill="1F3B57"/>
            <w:tcMar>
              <w:top w:w="80" w:type="dxa"/>
              <w:left w:w="100" w:type="dxa"/>
              <w:bottom w:w="80" w:type="dxa"/>
              <w:right w:w="100" w:type="dxa"/>
            </w:tcMar>
            <w:vAlign w:val="center"/>
          </w:tcPr>
          <w:p w14:paraId="6EA6D3C8" w14:textId="77777777" w:rsidR="008E7599" w:rsidRDefault="0092784B">
            <w:r>
              <w:rPr>
                <w:b/>
                <w:bCs/>
                <w:color w:val="FFFFFF"/>
                <w:sz w:val="19"/>
                <w:szCs w:val="19"/>
              </w:rPr>
              <w:t>Pros</w:t>
            </w:r>
          </w:p>
        </w:tc>
        <w:tc>
          <w:tcPr>
            <w:tcW w:w="3626" w:type="dxa"/>
            <w:shd w:val="clear" w:color="auto" w:fill="1F3B57"/>
            <w:tcMar>
              <w:top w:w="80" w:type="dxa"/>
              <w:left w:w="100" w:type="dxa"/>
              <w:bottom w:w="80" w:type="dxa"/>
              <w:right w:w="100" w:type="dxa"/>
            </w:tcMar>
            <w:vAlign w:val="center"/>
          </w:tcPr>
          <w:p w14:paraId="111790E0" w14:textId="77777777" w:rsidR="008E7599" w:rsidRDefault="0092784B">
            <w:r>
              <w:rPr>
                <w:b/>
                <w:bCs/>
                <w:color w:val="FFFFFF"/>
                <w:sz w:val="19"/>
                <w:szCs w:val="19"/>
              </w:rPr>
              <w:t>Cons / Why Not Chosen Alone</w:t>
            </w:r>
          </w:p>
        </w:tc>
      </w:tr>
      <w:tr w:rsidR="008E7599" w14:paraId="03E515C3" w14:textId="77777777">
        <w:tblPrEx>
          <w:tblCellMar>
            <w:top w:w="0" w:type="dxa"/>
            <w:bottom w:w="0" w:type="dxa"/>
          </w:tblCellMar>
        </w:tblPrEx>
        <w:tc>
          <w:tcPr>
            <w:tcW w:w="2200" w:type="dxa"/>
            <w:tcMar>
              <w:top w:w="80" w:type="dxa"/>
              <w:left w:w="100" w:type="dxa"/>
              <w:bottom w:w="80" w:type="dxa"/>
              <w:right w:w="100" w:type="dxa"/>
            </w:tcMar>
            <w:vAlign w:val="center"/>
          </w:tcPr>
          <w:p w14:paraId="1C8AA259" w14:textId="77777777" w:rsidR="008E7599" w:rsidRDefault="0092784B">
            <w:r>
              <w:rPr>
                <w:color w:val="000000"/>
                <w:sz w:val="19"/>
                <w:szCs w:val="19"/>
              </w:rPr>
              <w:t>Monolithic Layered</w:t>
            </w:r>
          </w:p>
        </w:tc>
        <w:tc>
          <w:tcPr>
            <w:tcW w:w="3200" w:type="dxa"/>
            <w:tcMar>
              <w:top w:w="80" w:type="dxa"/>
              <w:left w:w="100" w:type="dxa"/>
              <w:bottom w:w="80" w:type="dxa"/>
              <w:right w:w="100" w:type="dxa"/>
            </w:tcMar>
            <w:vAlign w:val="center"/>
          </w:tcPr>
          <w:p w14:paraId="0D82FC3D" w14:textId="77777777" w:rsidR="008E7599" w:rsidRDefault="0092784B">
            <w:r>
              <w:rPr>
                <w:color w:val="000000"/>
                <w:sz w:val="19"/>
                <w:szCs w:val="19"/>
              </w:rPr>
              <w:t>Simple to build and deploy initially; clear internal separation of concerns.</w:t>
            </w:r>
          </w:p>
        </w:tc>
        <w:tc>
          <w:tcPr>
            <w:tcW w:w="3626" w:type="dxa"/>
            <w:tcMar>
              <w:top w:w="80" w:type="dxa"/>
              <w:left w:w="100" w:type="dxa"/>
              <w:bottom w:w="80" w:type="dxa"/>
              <w:right w:w="100" w:type="dxa"/>
            </w:tcMar>
            <w:vAlign w:val="center"/>
          </w:tcPr>
          <w:p w14:paraId="751363B5" w14:textId="77777777" w:rsidR="008E7599" w:rsidRDefault="0092784B">
            <w:r>
              <w:rPr>
                <w:color w:val="000000"/>
                <w:sz w:val="19"/>
                <w:szCs w:val="19"/>
              </w:rPr>
              <w:t>Hard to scale individual capabilities independently; a fault or heavy load in one module risks affecting the whole system.</w:t>
            </w:r>
          </w:p>
        </w:tc>
      </w:tr>
      <w:tr w:rsidR="008E7599" w14:paraId="64F77A04" w14:textId="77777777">
        <w:tblPrEx>
          <w:tblCellMar>
            <w:top w:w="0" w:type="dxa"/>
            <w:bottom w:w="0" w:type="dxa"/>
          </w:tblCellMar>
        </w:tblPrEx>
        <w:tc>
          <w:tcPr>
            <w:tcW w:w="2200" w:type="dxa"/>
            <w:shd w:val="clear" w:color="auto" w:fill="DCE9F2"/>
            <w:tcMar>
              <w:top w:w="80" w:type="dxa"/>
              <w:left w:w="100" w:type="dxa"/>
              <w:bottom w:w="80" w:type="dxa"/>
              <w:right w:w="100" w:type="dxa"/>
            </w:tcMar>
            <w:vAlign w:val="center"/>
          </w:tcPr>
          <w:p w14:paraId="068088D3" w14:textId="77777777" w:rsidR="008E7599" w:rsidRDefault="0092784B">
            <w:r>
              <w:rPr>
                <w:color w:val="000000"/>
                <w:sz w:val="19"/>
                <w:szCs w:val="19"/>
              </w:rPr>
              <w:t>Pure Client-Server</w:t>
            </w:r>
          </w:p>
        </w:tc>
        <w:tc>
          <w:tcPr>
            <w:tcW w:w="3200" w:type="dxa"/>
            <w:shd w:val="clear" w:color="auto" w:fill="DCE9F2"/>
            <w:tcMar>
              <w:top w:w="80" w:type="dxa"/>
              <w:left w:w="100" w:type="dxa"/>
              <w:bottom w:w="80" w:type="dxa"/>
              <w:right w:w="100" w:type="dxa"/>
            </w:tcMar>
            <w:vAlign w:val="center"/>
          </w:tcPr>
          <w:p w14:paraId="0C0DB5DC" w14:textId="77777777" w:rsidR="008E7599" w:rsidRDefault="0092784B">
            <w:r>
              <w:rPr>
                <w:color w:val="000000"/>
                <w:sz w:val="19"/>
                <w:szCs w:val="19"/>
              </w:rPr>
              <w:t>Straightforward request/response model, easy to reason about.</w:t>
            </w:r>
          </w:p>
        </w:tc>
        <w:tc>
          <w:tcPr>
            <w:tcW w:w="3626" w:type="dxa"/>
            <w:shd w:val="clear" w:color="auto" w:fill="DCE9F2"/>
            <w:tcMar>
              <w:top w:w="80" w:type="dxa"/>
              <w:left w:w="100" w:type="dxa"/>
              <w:bottom w:w="80" w:type="dxa"/>
              <w:right w:w="100" w:type="dxa"/>
            </w:tcMar>
            <w:vAlign w:val="center"/>
          </w:tcPr>
          <w:p w14:paraId="05067D09" w14:textId="77777777" w:rsidR="008E7599" w:rsidRDefault="0092784B">
            <w:r>
              <w:rPr>
                <w:color w:val="000000"/>
                <w:sz w:val="19"/>
                <w:szCs w:val="19"/>
              </w:rPr>
              <w:t>Not well suited to continuous high-volume sensor streaming or notifying several independent consumers without polling.</w:t>
            </w:r>
          </w:p>
        </w:tc>
      </w:tr>
      <w:tr w:rsidR="008E7599" w14:paraId="17EB3CBE" w14:textId="77777777">
        <w:tblPrEx>
          <w:tblCellMar>
            <w:top w:w="0" w:type="dxa"/>
            <w:bottom w:w="0" w:type="dxa"/>
          </w:tblCellMar>
        </w:tblPrEx>
        <w:tc>
          <w:tcPr>
            <w:tcW w:w="2200" w:type="dxa"/>
            <w:tcMar>
              <w:top w:w="80" w:type="dxa"/>
              <w:left w:w="100" w:type="dxa"/>
              <w:bottom w:w="80" w:type="dxa"/>
              <w:right w:w="100" w:type="dxa"/>
            </w:tcMar>
            <w:vAlign w:val="center"/>
          </w:tcPr>
          <w:p w14:paraId="0510CAB1" w14:textId="77777777" w:rsidR="008E7599" w:rsidRDefault="0092784B">
            <w:r>
              <w:rPr>
                <w:color w:val="000000"/>
                <w:sz w:val="19"/>
                <w:szCs w:val="19"/>
              </w:rPr>
              <w:t>Pure Microservices (no event bus)</w:t>
            </w:r>
          </w:p>
        </w:tc>
        <w:tc>
          <w:tcPr>
            <w:tcW w:w="3200" w:type="dxa"/>
            <w:tcMar>
              <w:top w:w="80" w:type="dxa"/>
              <w:left w:w="100" w:type="dxa"/>
              <w:bottom w:w="80" w:type="dxa"/>
              <w:right w:w="100" w:type="dxa"/>
            </w:tcMar>
            <w:vAlign w:val="center"/>
          </w:tcPr>
          <w:p w14:paraId="703C969B" w14:textId="77777777" w:rsidR="008E7599" w:rsidRDefault="0092784B">
            <w:r>
              <w:rPr>
                <w:color w:val="000000"/>
                <w:sz w:val="19"/>
                <w:szCs w:val="19"/>
              </w:rPr>
              <w:t xml:space="preserve">Independent </w:t>
            </w:r>
            <w:proofErr w:type="spellStart"/>
            <w:r>
              <w:rPr>
                <w:color w:val="000000"/>
                <w:sz w:val="19"/>
                <w:szCs w:val="19"/>
              </w:rPr>
              <w:t>deployability</w:t>
            </w:r>
            <w:proofErr w:type="spellEnd"/>
            <w:r>
              <w:rPr>
                <w:color w:val="000000"/>
                <w:sz w:val="19"/>
                <w:szCs w:val="19"/>
              </w:rPr>
              <w:t xml:space="preserve"> and scaling per service.</w:t>
            </w:r>
          </w:p>
        </w:tc>
        <w:tc>
          <w:tcPr>
            <w:tcW w:w="3626" w:type="dxa"/>
            <w:tcMar>
              <w:top w:w="80" w:type="dxa"/>
              <w:left w:w="100" w:type="dxa"/>
              <w:bottom w:w="80" w:type="dxa"/>
              <w:right w:w="100" w:type="dxa"/>
            </w:tcMar>
            <w:vAlign w:val="center"/>
          </w:tcPr>
          <w:p w14:paraId="5F6A9BE3" w14:textId="77777777" w:rsidR="008E7599" w:rsidRDefault="0092784B">
            <w:r>
              <w:rPr>
                <w:color w:val="000000"/>
                <w:sz w:val="19"/>
                <w:szCs w:val="19"/>
              </w:rPr>
              <w:t>Relies on direct synchronous service-to-service calls, increasing coupling and cascading-failure risk under load.</w:t>
            </w:r>
          </w:p>
        </w:tc>
      </w:tr>
      <w:tr w:rsidR="008E7599" w14:paraId="3CBBFB64" w14:textId="77777777">
        <w:tblPrEx>
          <w:tblCellMar>
            <w:top w:w="0" w:type="dxa"/>
            <w:bottom w:w="0" w:type="dxa"/>
          </w:tblCellMar>
        </w:tblPrEx>
        <w:tc>
          <w:tcPr>
            <w:tcW w:w="2200" w:type="dxa"/>
            <w:shd w:val="clear" w:color="auto" w:fill="DCE9F2"/>
            <w:tcMar>
              <w:top w:w="80" w:type="dxa"/>
              <w:left w:w="100" w:type="dxa"/>
              <w:bottom w:w="80" w:type="dxa"/>
              <w:right w:w="100" w:type="dxa"/>
            </w:tcMar>
            <w:vAlign w:val="center"/>
          </w:tcPr>
          <w:p w14:paraId="3686005E" w14:textId="77777777" w:rsidR="008E7599" w:rsidRDefault="0092784B">
            <w:r>
              <w:rPr>
                <w:color w:val="000000"/>
                <w:sz w:val="19"/>
                <w:szCs w:val="19"/>
              </w:rPr>
              <w:t>Serverless (FaaS only)</w:t>
            </w:r>
          </w:p>
        </w:tc>
        <w:tc>
          <w:tcPr>
            <w:tcW w:w="3200" w:type="dxa"/>
            <w:shd w:val="clear" w:color="auto" w:fill="DCE9F2"/>
            <w:tcMar>
              <w:top w:w="80" w:type="dxa"/>
              <w:left w:w="100" w:type="dxa"/>
              <w:bottom w:w="80" w:type="dxa"/>
              <w:right w:w="100" w:type="dxa"/>
            </w:tcMar>
            <w:vAlign w:val="center"/>
          </w:tcPr>
          <w:p w14:paraId="4DC8EA98" w14:textId="77777777" w:rsidR="008E7599" w:rsidRDefault="0092784B">
            <w:r>
              <w:rPr>
                <w:color w:val="000000"/>
                <w:sz w:val="19"/>
                <w:szCs w:val="19"/>
              </w:rPr>
              <w:t>Automatic scaling; no server management for bursty workloads.</w:t>
            </w:r>
          </w:p>
        </w:tc>
        <w:tc>
          <w:tcPr>
            <w:tcW w:w="3626" w:type="dxa"/>
            <w:shd w:val="clear" w:color="auto" w:fill="DCE9F2"/>
            <w:tcMar>
              <w:top w:w="80" w:type="dxa"/>
              <w:left w:w="100" w:type="dxa"/>
              <w:bottom w:w="80" w:type="dxa"/>
              <w:right w:w="100" w:type="dxa"/>
            </w:tcMar>
            <w:vAlign w:val="center"/>
          </w:tcPr>
          <w:p w14:paraId="2FDC97E5" w14:textId="77777777" w:rsidR="008E7599" w:rsidRDefault="0092784B">
            <w:r>
              <w:rPr>
                <w:color w:val="000000"/>
                <w:sz w:val="19"/>
                <w:szCs w:val="19"/>
              </w:rPr>
              <w:t>Less suited to always-on, low-latency processing; cold-start latency risks delaying critical alerts.</w:t>
            </w:r>
          </w:p>
        </w:tc>
      </w:tr>
      <w:tr w:rsidR="008E7599" w14:paraId="340AFCD5" w14:textId="77777777">
        <w:tblPrEx>
          <w:tblCellMar>
            <w:top w:w="0" w:type="dxa"/>
            <w:bottom w:w="0" w:type="dxa"/>
          </w:tblCellMar>
        </w:tblPrEx>
        <w:tc>
          <w:tcPr>
            <w:tcW w:w="2200" w:type="dxa"/>
            <w:tcMar>
              <w:top w:w="80" w:type="dxa"/>
              <w:left w:w="100" w:type="dxa"/>
              <w:bottom w:w="80" w:type="dxa"/>
              <w:right w:w="100" w:type="dxa"/>
            </w:tcMar>
            <w:vAlign w:val="center"/>
          </w:tcPr>
          <w:p w14:paraId="12A804F2" w14:textId="77777777" w:rsidR="008E7599" w:rsidRDefault="0092784B">
            <w:r>
              <w:rPr>
                <w:color w:val="000000"/>
                <w:sz w:val="19"/>
                <w:szCs w:val="19"/>
              </w:rPr>
              <w:t>Selected Hybrid (Microservices + Event-Driven + Layered)</w:t>
            </w:r>
          </w:p>
        </w:tc>
        <w:tc>
          <w:tcPr>
            <w:tcW w:w="3200" w:type="dxa"/>
            <w:tcMar>
              <w:top w:w="80" w:type="dxa"/>
              <w:left w:w="100" w:type="dxa"/>
              <w:bottom w:w="80" w:type="dxa"/>
              <w:right w:w="100" w:type="dxa"/>
            </w:tcMar>
            <w:vAlign w:val="center"/>
          </w:tcPr>
          <w:p w14:paraId="52D274AE" w14:textId="77777777" w:rsidR="008E7599" w:rsidRDefault="0092784B">
            <w:r>
              <w:rPr>
                <w:color w:val="000000"/>
                <w:sz w:val="19"/>
                <w:szCs w:val="19"/>
              </w:rPr>
              <w:t>Independent scaling/deployment, decoupled real-time data flow, clear layered organization, resilience to partial failure.</w:t>
            </w:r>
          </w:p>
        </w:tc>
        <w:tc>
          <w:tcPr>
            <w:tcW w:w="3626" w:type="dxa"/>
            <w:tcMar>
              <w:top w:w="80" w:type="dxa"/>
              <w:left w:w="100" w:type="dxa"/>
              <w:bottom w:w="80" w:type="dxa"/>
              <w:right w:w="100" w:type="dxa"/>
            </w:tcMar>
            <w:vAlign w:val="center"/>
          </w:tcPr>
          <w:p w14:paraId="6ED31CF6" w14:textId="77777777" w:rsidR="008E7599" w:rsidRDefault="0092784B">
            <w:r>
              <w:rPr>
                <w:color w:val="000000"/>
                <w:sz w:val="19"/>
                <w:szCs w:val="19"/>
              </w:rPr>
              <w:t>Higher operational complexity than a single monolith; requires monitoring and tracing across services.</w:t>
            </w:r>
          </w:p>
        </w:tc>
      </w:tr>
    </w:tbl>
    <w:p w14:paraId="24924DC6" w14:textId="77777777" w:rsidR="008E7599" w:rsidRDefault="0092784B">
      <w:pPr>
        <w:spacing w:after="160" w:line="276" w:lineRule="auto"/>
      </w:pPr>
      <w:r>
        <w:t>The main trade-off accepted is operational complexity: running multiple services and a message broker requires more infrastructure, monitoring, and distributed-tracing effort than a single monolithic deployment. This is judged acceptable because the scenario's safety-critical alerting requirement and its planned growth from a pilot ward to city-wide coverage benefit more from independent scaling and fault isolation than from the simplicity of a monolith.</w:t>
      </w:r>
    </w:p>
    <w:p w14:paraId="1BBE68F8" w14:textId="77777777" w:rsidR="008E7599" w:rsidRDefault="0092784B">
      <w:pPr>
        <w:pStyle w:val="Heading2"/>
      </w:pPr>
      <w:r>
        <w:t>6.2 Support for Future Enhancements, System Integration, and Long-Term Maintainability</w:t>
      </w:r>
    </w:p>
    <w:p w14:paraId="72CDA2DF" w14:textId="77777777" w:rsidR="008E7599" w:rsidRDefault="0092784B">
      <w:pPr>
        <w:pStyle w:val="ListParagraph"/>
        <w:numPr>
          <w:ilvl w:val="0"/>
          <w:numId w:val="2"/>
        </w:numPr>
        <w:spacing w:after="80" w:line="276" w:lineRule="auto"/>
      </w:pPr>
      <w:r>
        <w:t>Future enhancements: new capabilities (for example, automated control of physical flood barriers or pumps) can be added as new services that simply subscribe to the Event Bus, without modifying existing services.</w:t>
      </w:r>
    </w:p>
    <w:p w14:paraId="55EE285E" w14:textId="77777777" w:rsidR="008E7599" w:rsidRDefault="0092784B">
      <w:pPr>
        <w:pStyle w:val="ListParagraph"/>
        <w:numPr>
          <w:ilvl w:val="0"/>
          <w:numId w:val="2"/>
        </w:numPr>
        <w:spacing w:after="80" w:line="276" w:lineRule="auto"/>
      </w:pPr>
      <w:r>
        <w:t>System integration: additional external integrations — new sensor vendors, additional weather-data providers, a new GIS provider, or a future municipal e-governance system — can be added behind the existing ingestion and gateway pattern, since each integration point is isolated to a single service rather than woven through the whole codebase.</w:t>
      </w:r>
    </w:p>
    <w:p w14:paraId="2C8F7298" w14:textId="77777777" w:rsidR="008E7599" w:rsidRDefault="0092784B">
      <w:pPr>
        <w:pStyle w:val="ListParagraph"/>
        <w:numPr>
          <w:ilvl w:val="0"/>
          <w:numId w:val="2"/>
        </w:numPr>
        <w:spacing w:after="80" w:line="276" w:lineRule="auto"/>
      </w:pPr>
      <w:r>
        <w:t>Scalability for growth: individual services can be scaled horizontally as sensor density and user load increase during city-wide rollout, without re-architecting the system.</w:t>
      </w:r>
    </w:p>
    <w:p w14:paraId="162BFFE5" w14:textId="77777777" w:rsidR="008E7599" w:rsidRDefault="0092784B">
      <w:pPr>
        <w:pStyle w:val="ListParagraph"/>
        <w:numPr>
          <w:ilvl w:val="0"/>
          <w:numId w:val="2"/>
        </w:numPr>
        <w:spacing w:after="80" w:line="276" w:lineRule="auto"/>
      </w:pPr>
      <w:r>
        <w:t>Long-term maintainability: because each service is independently owned and deployed, the AI prediction model can be retrained and redeployed, or the GIS layer upgraded, without redeploying or risking the rest of the platform.</w:t>
      </w:r>
    </w:p>
    <w:p w14:paraId="3104C364" w14:textId="77777777" w:rsidR="008E7599" w:rsidRDefault="0092784B">
      <w:pPr>
        <w:pStyle w:val="Heading1"/>
      </w:pPr>
      <w:r>
        <w:t>7. Conclusion</w:t>
      </w:r>
    </w:p>
    <w:p w14:paraId="1EC8ACF2" w14:textId="77777777" w:rsidR="008E7599" w:rsidRDefault="0092784B">
      <w:pPr>
        <w:spacing w:after="160" w:line="276" w:lineRule="auto"/>
      </w:pPr>
      <w:r>
        <w:t>This architecture design analysis examined the requirements of the AI-Driven Urban Flood Monitoring and Risk Assessment Platform and selected a hybrid Microservices, Event-Driven, and Layered architecture as the most suitable style. The design separates client-facing presentation from a gateway-</w:t>
      </w:r>
      <w:r>
        <w:lastRenderedPageBreak/>
        <w:t>fronted set of independently deployable domain and supporting services, coordinated through an event bus and backed by purpose-fit data stores. This structure was shown to satisfy the platform's key quality attributes — scalability, security, performance, reliability, maintainability, and availability — while remaining extensible for future capabilities such as automated flood-control actuation and expanded sensor coverage.</w:t>
      </w:r>
    </w:p>
    <w:sectPr w:rsidR="008E759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8AC80" w14:textId="77777777" w:rsidR="0092784B" w:rsidRDefault="0092784B">
      <w:r>
        <w:separator/>
      </w:r>
    </w:p>
  </w:endnote>
  <w:endnote w:type="continuationSeparator" w:id="0">
    <w:p w14:paraId="554C3F3D" w14:textId="77777777" w:rsidR="0092784B" w:rsidRDefault="00927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B41F" w14:textId="77777777" w:rsidR="008E7599" w:rsidRDefault="0092784B">
    <w:pPr>
      <w:jc w:val="center"/>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5205E8">
      <w:rPr>
        <w:noProof/>
        <w:color w:val="888888"/>
        <w:sz w:val="17"/>
        <w:szCs w:val="17"/>
      </w:rPr>
      <w:t>2</w:t>
    </w:r>
    <w:r>
      <w:rPr>
        <w:color w:val="888888"/>
        <w:sz w:val="17"/>
        <w:szCs w:val="17"/>
      </w:rPr>
      <w:fldChar w:fldCharType="end"/>
    </w:r>
    <w:r>
      <w:rPr>
        <w:color w:val="888888"/>
        <w:sz w:val="17"/>
        <w:szCs w:val="17"/>
      </w:rPr>
      <w:t xml:space="preserve"> of </w:t>
    </w:r>
    <w:r>
      <w:rPr>
        <w:color w:val="888888"/>
        <w:sz w:val="17"/>
        <w:szCs w:val="17"/>
      </w:rPr>
      <w:fldChar w:fldCharType="begin"/>
    </w:r>
    <w:r>
      <w:rPr>
        <w:color w:val="888888"/>
        <w:sz w:val="17"/>
        <w:szCs w:val="17"/>
      </w:rPr>
      <w:instrText>NUMPAGES</w:instrText>
    </w:r>
    <w:r>
      <w:rPr>
        <w:color w:val="888888"/>
        <w:sz w:val="17"/>
        <w:szCs w:val="17"/>
      </w:rPr>
      <w:fldChar w:fldCharType="separate"/>
    </w:r>
    <w:r w:rsidR="005205E8">
      <w:rPr>
        <w:noProof/>
        <w:color w:val="888888"/>
        <w:sz w:val="17"/>
        <w:szCs w:val="17"/>
      </w:rPr>
      <w:t>3</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751BE" w14:textId="77777777" w:rsidR="0092784B" w:rsidRDefault="0092784B">
      <w:r>
        <w:separator/>
      </w:r>
    </w:p>
  </w:footnote>
  <w:footnote w:type="continuationSeparator" w:id="0">
    <w:p w14:paraId="4EB99E7C" w14:textId="77777777" w:rsidR="0092784B" w:rsidRDefault="00927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FEE4" w14:textId="77777777" w:rsidR="008E7599" w:rsidRDefault="0092784B">
    <w:pPr>
      <w:jc w:val="right"/>
    </w:pPr>
    <w:r>
      <w:rPr>
        <w:color w:val="888888"/>
        <w:sz w:val="15"/>
        <w:szCs w:val="15"/>
      </w:rPr>
      <w:t>Architecture Design Report — AI-Driven Urban Flood Monitoring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6451"/>
    <w:multiLevelType w:val="hybridMultilevel"/>
    <w:tmpl w:val="01D23F48"/>
    <w:lvl w:ilvl="0" w:tplc="0C72BAB8">
      <w:start w:val="1"/>
      <w:numFmt w:val="bullet"/>
      <w:lvlText w:val="●"/>
      <w:lvlJc w:val="left"/>
      <w:pPr>
        <w:ind w:left="720" w:hanging="360"/>
      </w:pPr>
    </w:lvl>
    <w:lvl w:ilvl="1" w:tplc="D0329DBA">
      <w:start w:val="1"/>
      <w:numFmt w:val="bullet"/>
      <w:lvlText w:val="○"/>
      <w:lvlJc w:val="left"/>
      <w:pPr>
        <w:ind w:left="1440" w:hanging="360"/>
      </w:pPr>
    </w:lvl>
    <w:lvl w:ilvl="2" w:tplc="8C02B780">
      <w:start w:val="1"/>
      <w:numFmt w:val="bullet"/>
      <w:lvlText w:val="■"/>
      <w:lvlJc w:val="left"/>
      <w:pPr>
        <w:ind w:left="2160" w:hanging="360"/>
      </w:pPr>
    </w:lvl>
    <w:lvl w:ilvl="3" w:tplc="1E061848">
      <w:start w:val="1"/>
      <w:numFmt w:val="bullet"/>
      <w:lvlText w:val="●"/>
      <w:lvlJc w:val="left"/>
      <w:pPr>
        <w:ind w:left="2880" w:hanging="360"/>
      </w:pPr>
    </w:lvl>
    <w:lvl w:ilvl="4" w:tplc="EB4C4094">
      <w:start w:val="1"/>
      <w:numFmt w:val="bullet"/>
      <w:lvlText w:val="○"/>
      <w:lvlJc w:val="left"/>
      <w:pPr>
        <w:ind w:left="3600" w:hanging="360"/>
      </w:pPr>
    </w:lvl>
    <w:lvl w:ilvl="5" w:tplc="F5DA2C30">
      <w:start w:val="1"/>
      <w:numFmt w:val="bullet"/>
      <w:lvlText w:val="■"/>
      <w:lvlJc w:val="left"/>
      <w:pPr>
        <w:ind w:left="4320" w:hanging="360"/>
      </w:pPr>
    </w:lvl>
    <w:lvl w:ilvl="6" w:tplc="A53095C0">
      <w:start w:val="1"/>
      <w:numFmt w:val="bullet"/>
      <w:lvlText w:val="●"/>
      <w:lvlJc w:val="left"/>
      <w:pPr>
        <w:ind w:left="5040" w:hanging="360"/>
      </w:pPr>
    </w:lvl>
    <w:lvl w:ilvl="7" w:tplc="5256256C">
      <w:start w:val="1"/>
      <w:numFmt w:val="bullet"/>
      <w:lvlText w:val="●"/>
      <w:lvlJc w:val="left"/>
      <w:pPr>
        <w:ind w:left="5760" w:hanging="360"/>
      </w:pPr>
    </w:lvl>
    <w:lvl w:ilvl="8" w:tplc="0CFEB89C">
      <w:start w:val="1"/>
      <w:numFmt w:val="bullet"/>
      <w:lvlText w:val="●"/>
      <w:lvlJc w:val="left"/>
      <w:pPr>
        <w:ind w:left="6480" w:hanging="360"/>
      </w:pPr>
    </w:lvl>
  </w:abstractNum>
  <w:abstractNum w:abstractNumId="1" w15:restartNumberingAfterBreak="0">
    <w:nsid w:val="53F34F61"/>
    <w:multiLevelType w:val="hybridMultilevel"/>
    <w:tmpl w:val="EE6E8D5C"/>
    <w:lvl w:ilvl="0" w:tplc="7D84B80C">
      <w:start w:val="1"/>
      <w:numFmt w:val="bullet"/>
      <w:lvlText w:val="•"/>
      <w:lvlJc w:val="left"/>
      <w:pPr>
        <w:ind w:left="480" w:hanging="240"/>
      </w:pPr>
    </w:lvl>
    <w:lvl w:ilvl="1" w:tplc="3C5E3652">
      <w:start w:val="1"/>
      <w:numFmt w:val="bullet"/>
      <w:lvlText w:val="◦"/>
      <w:lvlJc w:val="left"/>
      <w:pPr>
        <w:ind w:left="960" w:hanging="240"/>
      </w:pPr>
    </w:lvl>
    <w:lvl w:ilvl="2" w:tplc="321259D2">
      <w:numFmt w:val="decimal"/>
      <w:lvlText w:val=""/>
      <w:lvlJc w:val="left"/>
    </w:lvl>
    <w:lvl w:ilvl="3" w:tplc="514EAEDC">
      <w:numFmt w:val="decimal"/>
      <w:lvlText w:val=""/>
      <w:lvlJc w:val="left"/>
    </w:lvl>
    <w:lvl w:ilvl="4" w:tplc="C074D004">
      <w:numFmt w:val="decimal"/>
      <w:lvlText w:val=""/>
      <w:lvlJc w:val="left"/>
    </w:lvl>
    <w:lvl w:ilvl="5" w:tplc="CC520026">
      <w:numFmt w:val="decimal"/>
      <w:lvlText w:val=""/>
      <w:lvlJc w:val="left"/>
    </w:lvl>
    <w:lvl w:ilvl="6" w:tplc="1228C57E">
      <w:numFmt w:val="decimal"/>
      <w:lvlText w:val=""/>
      <w:lvlJc w:val="left"/>
    </w:lvl>
    <w:lvl w:ilvl="7" w:tplc="1DEE8EB2">
      <w:numFmt w:val="decimal"/>
      <w:lvlText w:val=""/>
      <w:lvlJc w:val="left"/>
    </w:lvl>
    <w:lvl w:ilvl="8" w:tplc="D1A066BA">
      <w:numFmt w:val="decimal"/>
      <w:lvlText w:val=""/>
      <w:lvlJc w:val="left"/>
    </w:lvl>
  </w:abstractNum>
  <w:abstractNum w:abstractNumId="2" w15:restartNumberingAfterBreak="0">
    <w:nsid w:val="5B5934A5"/>
    <w:multiLevelType w:val="hybridMultilevel"/>
    <w:tmpl w:val="99B2BB22"/>
    <w:lvl w:ilvl="0" w:tplc="76146652">
      <w:start w:val="1"/>
      <w:numFmt w:val="decimal"/>
      <w:lvlText w:val="%1."/>
      <w:lvlJc w:val="left"/>
      <w:pPr>
        <w:ind w:left="480" w:hanging="240"/>
      </w:pPr>
    </w:lvl>
    <w:lvl w:ilvl="1" w:tplc="F60A7F42">
      <w:numFmt w:val="decimal"/>
      <w:lvlText w:val=""/>
      <w:lvlJc w:val="left"/>
    </w:lvl>
    <w:lvl w:ilvl="2" w:tplc="A2C26BA0">
      <w:numFmt w:val="decimal"/>
      <w:lvlText w:val=""/>
      <w:lvlJc w:val="left"/>
    </w:lvl>
    <w:lvl w:ilvl="3" w:tplc="66B83408">
      <w:numFmt w:val="decimal"/>
      <w:lvlText w:val=""/>
      <w:lvlJc w:val="left"/>
    </w:lvl>
    <w:lvl w:ilvl="4" w:tplc="8E002F30">
      <w:numFmt w:val="decimal"/>
      <w:lvlText w:val=""/>
      <w:lvlJc w:val="left"/>
    </w:lvl>
    <w:lvl w:ilvl="5" w:tplc="93C218D2">
      <w:numFmt w:val="decimal"/>
      <w:lvlText w:val=""/>
      <w:lvlJc w:val="left"/>
    </w:lvl>
    <w:lvl w:ilvl="6" w:tplc="B1C2DB58">
      <w:numFmt w:val="decimal"/>
      <w:lvlText w:val=""/>
      <w:lvlJc w:val="left"/>
    </w:lvl>
    <w:lvl w:ilvl="7" w:tplc="5DE8FC3E">
      <w:numFmt w:val="decimal"/>
      <w:lvlText w:val=""/>
      <w:lvlJc w:val="left"/>
    </w:lvl>
    <w:lvl w:ilvl="8" w:tplc="A2700E66">
      <w:numFmt w:val="decimal"/>
      <w:lvlText w:val=""/>
      <w:lvlJc w:val="left"/>
    </w:lvl>
  </w:abstractNum>
  <w:num w:numId="1" w16cid:durableId="89740723">
    <w:abstractNumId w:val="0"/>
    <w:lvlOverride w:ilvl="0">
      <w:startOverride w:val="1"/>
    </w:lvlOverride>
  </w:num>
  <w:num w:numId="2" w16cid:durableId="1383289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599"/>
    <w:rsid w:val="005205E8"/>
    <w:rsid w:val="0083493A"/>
    <w:rsid w:val="008E7599"/>
    <w:rsid w:val="00927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52B5"/>
  <w15:docId w15:val="{509C4F26-9979-4844-A041-5B8A577C7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B57"/>
      <w:sz w:val="30"/>
      <w:szCs w:val="30"/>
    </w:rPr>
  </w:style>
  <w:style w:type="paragraph" w:styleId="Heading2">
    <w:name w:val="heading 2"/>
    <w:uiPriority w:val="9"/>
    <w:unhideWhenUsed/>
    <w:qFormat/>
    <w:pPr>
      <w:spacing w:before="240" w:after="120"/>
      <w:outlineLvl w:val="1"/>
    </w:pPr>
    <w:rPr>
      <w:b/>
      <w:bCs/>
      <w:color w:val="2E6E9E"/>
      <w:sz w:val="25"/>
      <w:szCs w:val="25"/>
    </w:rPr>
  </w:style>
  <w:style w:type="paragraph" w:styleId="Heading3">
    <w:name w:val="heading 3"/>
    <w:uiPriority w:val="9"/>
    <w:semiHidden/>
    <w:unhideWhenUsed/>
    <w:qFormat/>
    <w:pPr>
      <w:spacing w:before="180" w:after="80"/>
      <w:outlineLvl w:val="2"/>
    </w:pPr>
    <w:rPr>
      <w:b/>
      <w:bCs/>
      <w:i/>
      <w:i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3247</Words>
  <Characters>18512</Characters>
  <Application>Microsoft Office Word</Application>
  <DocSecurity>0</DocSecurity>
  <Lines>154</Lines>
  <Paragraphs>43</Paragraphs>
  <ScaleCrop>false</ScaleCrop>
  <Company/>
  <LinksUpToDate>false</LinksUpToDate>
  <CharactersWithSpaces>21716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Vara Prasad Mokharala</cp:lastModifiedBy>
  <cp:revision>2</cp:revision>
  <dcterms:created xsi:type="dcterms:W3CDTF">2026-08-05T02:59:00Z</dcterms:created>
  <dcterms:modified xsi:type="dcterms:W3CDTF">2026-08-05T02:59:00Z</dcterms:modified>
</cp:coreProperties>
</file>