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drawing>
          <wp:inline xmlns:a="http://schemas.openxmlformats.org/drawingml/2006/main" xmlns:pic="http://schemas.openxmlformats.org/drawingml/2006/picture">
            <wp:extent cx="1554480" cy="1070864"/>
            <wp:docPr id="1" name="Picture 1"/>
            <wp:cNvGraphicFramePr>
              <a:graphicFrameLocks noChangeAspect="1"/>
            </wp:cNvGraphicFramePr>
            <a:graphic>
              <a:graphicData uri="http://schemas.openxmlformats.org/drawingml/2006/picture">
                <pic:pic>
                  <pic:nvPicPr>
                    <pic:cNvPr id="0" name="vn-logo.png"/>
                    <pic:cNvPicPr/>
                  </pic:nvPicPr>
                  <pic:blipFill>
                    <a:blip r:embed="rId11"/>
                    <a:stretch>
                      <a:fillRect/>
                    </a:stretch>
                  </pic:blipFill>
                  <pic:spPr>
                    <a:xfrm>
                      <a:off x="0" y="0"/>
                      <a:ext cx="1554480" cy="1070864"/>
                    </a:xfrm>
                    <a:prstGeom prst="rect"/>
                  </pic:spPr>
                </pic:pic>
              </a:graphicData>
            </a:graphic>
          </wp:inline>
        </w:drawing>
      </w:r>
    </w:p>
    <w:p>
      <w:pPr>
        <w:spacing w:after="100"/>
        <w:jc w:val="center"/>
      </w:pPr>
      <w:r>
        <w:rPr>
          <w:rFonts w:ascii="Arial" w:hAnsi="Arial"/>
          <w:b/>
          <w:caps/>
          <w:color w:val="C8A44D"/>
          <w:sz w:val="18"/>
        </w:rPr>
        <w:t>INTERNAL TRAINING &amp; OPERATING GUIDE</w:t>
      </w:r>
    </w:p>
    <w:p>
      <w:pPr>
        <w:spacing w:after="60"/>
        <w:jc w:val="center"/>
      </w:pPr>
      <w:r>
        <w:rPr>
          <w:rFonts w:ascii="Arial" w:hAnsi="Arial"/>
          <w:b/>
          <w:color w:val="161616"/>
          <w:sz w:val="62"/>
        </w:rPr>
        <w:t>Central Accounts</w:t>
      </w:r>
    </w:p>
    <w:p>
      <w:pPr>
        <w:spacing w:after="300"/>
        <w:jc w:val="center"/>
      </w:pPr>
      <w:r>
        <w:rPr>
          <w:rFonts w:ascii="Arial" w:hAnsi="Arial"/>
          <w:b/>
          <w:color w:val="7B5B19"/>
          <w:sz w:val="46"/>
        </w:rPr>
        <w:t>Training Manual</w:t>
      </w:r>
    </w:p>
    <w:p>
      <w:pPr>
        <w:spacing w:after="520"/>
        <w:jc w:val="center"/>
      </w:pPr>
      <w:r>
        <w:rPr>
          <w:rFonts w:ascii="Arial" w:hAnsi="Arial"/>
          <w:i/>
          <w:color w:val="666666"/>
          <w:sz w:val="22"/>
        </w:rPr>
        <w:t>From source documents to postings, reconciliations, statutory controls, close and reporting</w:t>
      </w:r>
    </w:p>
    <w:tbl>
      <w:tblPr>
        <w:tblW w:type="dxa" w:w="9878"/>
        <w:jc w:val="left"/>
        <w:tblLayout w:type="fixed"/>
        <w:tblLook w:firstColumn="1" w:firstRow="1" w:lastColumn="0" w:lastRow="0" w:noHBand="0" w:noVBand="1" w:val="04A0"/>
        <w:tblInd w:w="0" w:type="dxa"/>
      </w:tblPr>
      <w:tblGrid>
        <w:gridCol w:w="9878"/>
      </w:tblGrid>
      <w:tr>
        <w:tc>
          <w:tcPr>
            <w:tcW w:type="dxa" w:w="9878"/>
            <w:tcMar>
              <w:top w:w="100" w:type="dxa"/>
              <w:start w:w="120" w:type="dxa"/>
              <w:bottom w:w="100" w:type="dxa"/>
              <w:end w:w="120" w:type="dxa"/>
            </w:tcMar>
            <w:vAlign w:val="center"/>
            <w:shd w:fill="F7F1E2"/>
          </w:tcPr>
          <w:p>
            <w:pPr>
              <w:spacing w:after="60"/>
            </w:pPr>
            <w:r>
              <w:rPr>
                <w:rFonts w:ascii="Arial" w:hAnsi="Arial"/>
                <w:b/>
                <w:color w:val="7B5B19"/>
                <w:sz w:val="21"/>
              </w:rPr>
              <w:t>Training objective</w:t>
            </w:r>
          </w:p>
          <w:p>
            <w:pPr>
              <w:spacing w:after="0"/>
            </w:pPr>
            <w:r>
              <w:rPr>
                <w:rFonts w:ascii="Arial" w:hAnsi="Arial"/>
                <w:color w:val="161616"/>
                <w:sz w:val="19"/>
              </w:rPr>
              <w:t>Enable a new finance user to understand what each Central Accounts screen does, complete routine work safely, recognize when approval is required, and preserve a complete audit trail.</w:t>
            </w:r>
          </w:p>
        </w:tc>
      </w:tr>
    </w:tbl>
    <w:p>
      <w:pPr>
        <w:spacing w:after="0"/>
      </w:pPr>
    </w:p>
    <w:p>
      <w:pPr>
        <w:spacing w:after="100"/>
        <w:jc w:val="center"/>
      </w:pPr>
      <w:r>
        <w:rPr>
          <w:rFonts w:ascii="Arial" w:hAnsi="Arial"/>
          <w:i w:val="0"/>
          <w:color w:val="666666"/>
          <w:sz w:val="22"/>
        </w:rPr>
        <w:t>Prepared for: Accounts Executives, Accounts Managers, CFO/CA reviewers, authorised auditors and system administrators</w:t>
      </w:r>
    </w:p>
    <w:p>
      <w:pPr>
        <w:spacing w:after="80"/>
        <w:jc w:val="center"/>
      </w:pPr>
      <w:r>
        <w:rPr>
          <w:rFonts w:ascii="Arial" w:hAnsi="Arial"/>
          <w:b/>
          <w:color w:val="161616"/>
          <w:sz w:val="22"/>
        </w:rPr>
        <w:t>Version 1.0</w:t>
      </w:r>
      <w:r>
        <w:rPr>
          <w:rFonts w:ascii="Arial" w:hAnsi="Arial"/>
          <w:i w:val="0"/>
          <w:color w:val="161616"/>
          <w:sz w:val="22"/>
        </w:rPr>
        <w:t xml:space="preserve"> • 20 July 2026 • Varada Nexus Private Limited</w:t>
      </w:r>
    </w:p>
    <w:p>
      <w:pPr>
        <w:spacing w:after="120"/>
        <w:jc w:val="center"/>
      </w:pPr>
      <w:r>
        <w:rPr>
          <w:rFonts w:ascii="Arial" w:hAnsi="Arial"/>
          <w:i w:val="0"/>
          <w:color w:val="666666"/>
          <w:sz w:val="22"/>
        </w:rPr>
        <w:t>System reference: EMS 2.0 release/2.0-rc1</w:t>
      </w:r>
    </w:p>
    <w:p>
      <w:r>
        <w:br w:type="page"/>
      </w:r>
    </w:p>
    <w:p>
      <w:pPr>
        <w:pStyle w:val="Heading1"/>
      </w:pPr>
      <w:r>
        <w:t>1. How to use this manual</w:t>
      </w:r>
    </w:p>
    <w:p>
      <w:pPr>
        <w:spacing w:after="120"/>
      </w:pPr>
      <w:r>
        <w:rPr>
          <w:rFonts w:ascii="Arial" w:hAnsi="Arial"/>
          <w:i w:val="0"/>
          <w:color w:val="161616"/>
          <w:sz w:val="22"/>
        </w:rPr>
        <w:t>Read sections 1–6 before posting any transaction. Use sections 7–15 as operating references for the area assigned to you. Complete the closing checklist in section 16 at month-end.</w:t>
      </w:r>
    </w:p>
    <w:tbl>
      <w:tblPr>
        <w:tblW w:type="dxa" w:w="9878"/>
        <w:jc w:val="left"/>
        <w:tblLayout w:type="fixed"/>
        <w:tblLook w:firstColumn="1" w:firstRow="1" w:lastColumn="0" w:lastRow="0" w:noHBand="0" w:noVBand="1" w:val="04A0"/>
        <w:tblInd w:w="0" w:type="dxa"/>
      </w:tblPr>
      <w:tblGrid>
        <w:gridCol w:w="9878"/>
      </w:tblGrid>
      <w:tr>
        <w:tc>
          <w:tcPr>
            <w:tcW w:type="dxa" w:w="9878"/>
            <w:tcMar>
              <w:top w:w="100" w:type="dxa"/>
              <w:start w:w="120" w:type="dxa"/>
              <w:bottom w:w="100" w:type="dxa"/>
              <w:end w:w="120" w:type="dxa"/>
            </w:tcMar>
            <w:vAlign w:val="center"/>
            <w:shd w:fill="FCECEC"/>
          </w:tcPr>
          <w:p>
            <w:pPr>
              <w:spacing w:after="60"/>
            </w:pPr>
            <w:r>
              <w:rPr>
                <w:rFonts w:ascii="Arial" w:hAnsi="Arial"/>
                <w:b/>
                <w:color w:val="9B1C1C"/>
                <w:sz w:val="21"/>
              </w:rPr>
              <w:t>Important control</w:t>
            </w:r>
          </w:p>
          <w:p>
            <w:pPr>
              <w:spacing w:after="0"/>
            </w:pPr>
            <w:r>
              <w:rPr>
                <w:rFonts w:ascii="Arial" w:hAnsi="Arial"/>
                <w:color w:val="161616"/>
                <w:sz w:val="19"/>
              </w:rPr>
              <w:t>Central Accounts is a controlled ledger workspace. A document should be posted only after the source is approved, the accounting treatment is verified, the period is open, supporting evidence is available and the debit/credit effect is understood.</w:t>
            </w:r>
          </w:p>
        </w:tc>
      </w:tr>
    </w:tbl>
    <w:p>
      <w:pPr>
        <w:spacing w:after="0"/>
      </w:pPr>
    </w:p>
    <w:p>
      <w:pPr>
        <w:pStyle w:val="Heading2"/>
      </w:pPr>
      <w:r>
        <w:t>Learning outcomes</w:t>
      </w:r>
    </w:p>
    <w:p>
      <w:pPr>
        <w:pStyle w:val="ListBullet"/>
        <w:ind w:left="540" w:hanging="271"/>
      </w:pPr>
      <w:r>
        <w:rPr>
          <w:rFonts w:ascii="Arial" w:hAnsi="Arial"/>
          <w:color w:val="161616"/>
          <w:sz w:val="22"/>
        </w:rPr>
        <w:t>Navigate all Central Accounts workspaces and understand what belongs in each one.</w:t>
      </w:r>
    </w:p>
    <w:p>
      <w:pPr>
        <w:pStyle w:val="ListBullet"/>
        <w:ind w:left="540" w:hanging="271"/>
      </w:pPr>
      <w:r>
        <w:rPr>
          <w:rFonts w:ascii="Arial" w:hAnsi="Arial"/>
          <w:color w:val="161616"/>
          <w:sz w:val="22"/>
        </w:rPr>
        <w:t>Trace an approved source transaction into a financial document, posting queue item and journal.</w:t>
      </w:r>
    </w:p>
    <w:p>
      <w:pPr>
        <w:pStyle w:val="ListBullet"/>
        <w:ind w:left="540" w:hanging="271"/>
      </w:pPr>
      <w:r>
        <w:rPr>
          <w:rFonts w:ascii="Arial" w:hAnsi="Arial"/>
          <w:color w:val="161616"/>
          <w:sz w:val="22"/>
        </w:rPr>
        <w:t>Maintain receivables, payables, treasury, tax, fixed asset and budget records without bypassing approvals.</w:t>
      </w:r>
    </w:p>
    <w:p>
      <w:pPr>
        <w:pStyle w:val="ListBullet"/>
        <w:ind w:left="540" w:hanging="271"/>
      </w:pPr>
      <w:r>
        <w:rPr>
          <w:rFonts w:ascii="Arial" w:hAnsi="Arial"/>
          <w:color w:val="161616"/>
          <w:sz w:val="22"/>
        </w:rPr>
        <w:t>Prepare close evidence and reliable reports while keeping the audit trail intact.</w:t>
      </w:r>
    </w:p>
    <w:p>
      <w:pPr>
        <w:pStyle w:val="ListBullet"/>
        <w:ind w:left="540" w:hanging="271"/>
      </w:pPr>
      <w:r>
        <w:rPr>
          <w:rFonts w:ascii="Arial" w:hAnsi="Arial"/>
          <w:color w:val="161616"/>
          <w:sz w:val="22"/>
        </w:rPr>
        <w:t>Recognize errors that must be corrected before posting instead of being hidden after posting.</w:t>
      </w:r>
    </w:p>
    <w:p>
      <w:pPr>
        <w:pStyle w:val="Heading2"/>
      </w:pPr>
      <w:r>
        <w:t>The three rules to remember</w:t>
      </w:r>
    </w:p>
    <w:tbl>
      <w:tblPr>
        <w:tblStyle w:val="TableGrid"/>
        <w:tblW w:type="dxa" w:w="9378"/>
        <w:jc w:val="left"/>
        <w:tblLayout w:type="fixed"/>
        <w:tblLook w:firstColumn="1" w:firstRow="1" w:lastColumn="0" w:lastRow="0" w:noHBand="0" w:noVBand="1" w:val="04A0"/>
        <w:tblInd w:w="120" w:type="dxa"/>
      </w:tblPr>
      <w:tblGrid>
        <w:gridCol w:w="1900"/>
        <w:gridCol w:w="7478"/>
      </w:tblGrid>
      <w:tr>
        <w:trPr>
          <w:tblHeader w:val="true"/>
        </w:trPr>
        <w:tc>
          <w:tcPr>
            <w:tcW w:type="dxa" w:w="1900"/>
            <w:tcMar>
              <w:top w:w="100" w:type="dxa"/>
              <w:start w:w="120" w:type="dxa"/>
              <w:bottom w:w="100" w:type="dxa"/>
              <w:end w:w="120" w:type="dxa"/>
            </w:tcMar>
            <w:vAlign w:val="center"/>
            <w:shd w:fill="161616"/>
          </w:tcPr>
          <w:p>
            <w:pPr>
              <w:jc w:val="center"/>
            </w:pPr>
            <w:r>
              <w:rPr>
                <w:rFonts w:ascii="Arial" w:hAnsi="Arial"/>
                <w:b/>
                <w:color w:val="FFFFFF"/>
                <w:sz w:val="18"/>
              </w:rPr>
              <w:t>Rule</w:t>
            </w:r>
          </w:p>
        </w:tc>
        <w:tc>
          <w:tcPr>
            <w:tcW w:type="dxa" w:w="7478"/>
            <w:tcMar>
              <w:top w:w="100" w:type="dxa"/>
              <w:start w:w="120" w:type="dxa"/>
              <w:bottom w:w="100" w:type="dxa"/>
              <w:end w:w="120" w:type="dxa"/>
            </w:tcMar>
            <w:vAlign w:val="center"/>
            <w:shd w:fill="161616"/>
          </w:tcPr>
          <w:p>
            <w:pPr>
              <w:jc w:val="center"/>
            </w:pPr>
            <w:r>
              <w:rPr>
                <w:rFonts w:ascii="Arial" w:hAnsi="Arial"/>
                <w:b/>
                <w:color w:val="FFFFFF"/>
                <w:sz w:val="18"/>
              </w:rPr>
              <w:t>Meaning in daily work</w:t>
            </w:r>
          </w:p>
        </w:tc>
      </w:tr>
      <w:tr>
        <w:tc>
          <w:tcPr>
            <w:tcW w:type="dxa" w:w="1900"/>
          </w:tcPr>
          <w:p>
            <w:pPr>
              <w:jc w:val="center"/>
            </w:pPr>
            <w:r>
              <w:rPr>
                <w:rFonts w:ascii="Arial" w:hAnsi="Arial"/>
                <w:color w:val="161616"/>
                <w:sz w:val="18"/>
              </w:rPr>
              <w:t>Source first</w:t>
            </w:r>
          </w:p>
        </w:tc>
        <w:tc>
          <w:tcPr>
            <w:tcW w:type="dxa" w:w="7478"/>
          </w:tcPr>
          <w:p>
            <w:pPr>
              <w:jc w:val="left"/>
            </w:pPr>
            <w:r>
              <w:rPr>
                <w:rFonts w:ascii="Arial" w:hAnsi="Arial"/>
                <w:color w:val="161616"/>
                <w:sz w:val="18"/>
              </w:rPr>
              <w:t>Every posting must be supported by an approved source document, authorised voucher or properly documented adjustment.</w:t>
            </w:r>
          </w:p>
        </w:tc>
      </w:tr>
      <w:tr>
        <w:tc>
          <w:tcPr>
            <w:tcW w:type="dxa" w:w="1900"/>
            <w:shd w:fill="FAFAFA"/>
          </w:tcPr>
          <w:p>
            <w:pPr>
              <w:jc w:val="center"/>
            </w:pPr>
            <w:r>
              <w:rPr>
                <w:rFonts w:ascii="Arial" w:hAnsi="Arial"/>
                <w:color w:val="161616"/>
                <w:sz w:val="18"/>
              </w:rPr>
              <w:t>Maker and checker</w:t>
            </w:r>
          </w:p>
        </w:tc>
        <w:tc>
          <w:tcPr>
            <w:tcW w:type="dxa" w:w="7478"/>
            <w:shd w:fill="FAFAFA"/>
          </w:tcPr>
          <w:p>
            <w:pPr>
              <w:jc w:val="left"/>
            </w:pPr>
            <w:r>
              <w:rPr>
                <w:rFonts w:ascii="Arial" w:hAnsi="Arial"/>
                <w:color w:val="161616"/>
                <w:sz w:val="18"/>
              </w:rPr>
              <w:t>The person preparing data should not silently approve or post their own work when separate review is required.</w:t>
            </w:r>
          </w:p>
        </w:tc>
      </w:tr>
      <w:tr>
        <w:tc>
          <w:tcPr>
            <w:tcW w:type="dxa" w:w="1900"/>
          </w:tcPr>
          <w:p>
            <w:pPr>
              <w:jc w:val="center"/>
            </w:pPr>
            <w:r>
              <w:rPr>
                <w:rFonts w:ascii="Arial" w:hAnsi="Arial"/>
                <w:color w:val="161616"/>
                <w:sz w:val="18"/>
              </w:rPr>
              <w:t>Never erase history</w:t>
            </w:r>
          </w:p>
        </w:tc>
        <w:tc>
          <w:tcPr>
            <w:tcW w:type="dxa" w:w="7478"/>
          </w:tcPr>
          <w:p>
            <w:pPr>
              <w:jc w:val="left"/>
            </w:pPr>
            <w:r>
              <w:rPr>
                <w:rFonts w:ascii="Arial" w:hAnsi="Arial"/>
                <w:color w:val="161616"/>
                <w:sz w:val="18"/>
              </w:rPr>
              <w:t>Correct mistakes through the approved correction, reversal or adjustment route; do not attempt to hide the original event.</w:t>
            </w:r>
          </w:p>
        </w:tc>
      </w:tr>
    </w:tbl>
    <w:p>
      <w:pPr>
        <w:spacing w:after="0"/>
      </w:pPr>
    </w:p>
    <w:p>
      <w:pPr>
        <w:pStyle w:val="Heading1"/>
      </w:pPr>
      <w:r>
        <w:t>2. The complete accounting flow</w:t>
      </w:r>
    </w:p>
    <w:p>
      <w:pPr>
        <w:spacing w:after="160"/>
      </w:pPr>
      <w:r>
        <w:rPr>
          <w:rFonts w:ascii="Arial" w:hAnsi="Arial"/>
          <w:i/>
          <w:color w:val="666666"/>
          <w:sz w:val="22"/>
        </w:rPr>
        <w:t>Understand the sequence before learning individual screens.</w:t>
      </w:r>
    </w:p>
    <w:p>
      <w:pPr>
        <w:jc w:val="center"/>
      </w:pPr>
      <w:r>
        <w:drawing>
          <wp:inline xmlns:a="http://schemas.openxmlformats.org/drawingml/2006/main" xmlns:pic="http://schemas.openxmlformats.org/drawingml/2006/picture">
            <wp:extent cx="6126480" cy="1395476"/>
            <wp:docPr id="2" name="Picture 2"/>
            <wp:cNvGraphicFramePr>
              <a:graphicFrameLocks noChangeAspect="1"/>
            </wp:cNvGraphicFramePr>
            <a:graphic>
              <a:graphicData uri="http://schemas.openxmlformats.org/drawingml/2006/picture">
                <pic:pic>
                  <pic:nvPicPr>
                    <pic:cNvPr id="0" name="central-accounts-flow.png"/>
                    <pic:cNvPicPr/>
                  </pic:nvPicPr>
                  <pic:blipFill>
                    <a:blip r:embed="rId12"/>
                    <a:stretch>
                      <a:fillRect/>
                    </a:stretch>
                  </pic:blipFill>
                  <pic:spPr>
                    <a:xfrm>
                      <a:off x="0" y="0"/>
                      <a:ext cx="6126480" cy="1395476"/>
                    </a:xfrm>
                    <a:prstGeom prst="rect"/>
                  </pic:spPr>
                </pic:pic>
              </a:graphicData>
            </a:graphic>
          </wp:inline>
        </w:drawing>
      </w:r>
    </w:p>
    <w:p>
      <w:pPr>
        <w:spacing w:after="160"/>
        <w:jc w:val="center"/>
      </w:pPr>
      <w:r>
        <w:rPr>
          <w:rFonts w:ascii="Arial" w:hAnsi="Arial"/>
          <w:i/>
          <w:color w:val="666666"/>
          <w:sz w:val="22"/>
        </w:rPr>
        <w:t>Figure 1 — Central Accounts control flow</w:t>
      </w:r>
    </w:p>
    <w:p>
      <w:pPr>
        <w:pStyle w:val="ListNumber"/>
        <w:ind w:left="540" w:hanging="271"/>
      </w:pPr>
      <w:r>
        <w:rPr>
          <w:rFonts w:ascii="Arial" w:hAnsi="Arial"/>
          <w:color w:val="161616"/>
          <w:sz w:val="22"/>
        </w:rPr>
        <w:t>Source: A division approves a bill, invoice, credit note, receipt, transporter statement, payment, expense or other eligible transaction.</w:t>
      </w:r>
    </w:p>
    <w:p>
      <w:pPr>
        <w:pStyle w:val="ListNumber"/>
        <w:ind w:left="540" w:hanging="271"/>
      </w:pPr>
      <w:r>
        <w:rPr>
          <w:rFonts w:ascii="Arial" w:hAnsi="Arial"/>
          <w:color w:val="161616"/>
          <w:sz w:val="22"/>
        </w:rPr>
        <w:t>Stage: EMS creates a Central Accounts financial document without yet changing the final journal ledger.</w:t>
      </w:r>
    </w:p>
    <w:p>
      <w:pPr>
        <w:pStyle w:val="ListNumber"/>
        <w:ind w:left="540" w:hanging="271"/>
      </w:pPr>
      <w:r>
        <w:rPr>
          <w:rFonts w:ascii="Arial" w:hAnsi="Arial"/>
          <w:color w:val="161616"/>
          <w:sz w:val="22"/>
        </w:rPr>
        <w:t>Validate: Finance checks document family, amount, date, counterparty, tax treatment, dimensions and queue status.</w:t>
      </w:r>
    </w:p>
    <w:p>
      <w:pPr>
        <w:pStyle w:val="ListNumber"/>
        <w:ind w:left="540" w:hanging="271"/>
      </w:pPr>
      <w:r>
        <w:rPr>
          <w:rFonts w:ascii="Arial" w:hAnsi="Arial"/>
          <w:color w:val="161616"/>
          <w:sz w:val="22"/>
        </w:rPr>
        <w:t>Post: An authorised user confirms posting. EMS creates a balanced journal and updates relevant open items.</w:t>
      </w:r>
    </w:p>
    <w:p>
      <w:pPr>
        <w:pStyle w:val="ListNumber"/>
        <w:ind w:left="540" w:hanging="271"/>
      </w:pPr>
      <w:r>
        <w:rPr>
          <w:rFonts w:ascii="Arial" w:hAnsi="Arial"/>
          <w:color w:val="161616"/>
          <w:sz w:val="22"/>
        </w:rPr>
        <w:t>Reconcile: Finance compares receivables, payables, bank movements, GST, TDS and division balances to supporting records.</w:t>
      </w:r>
    </w:p>
    <w:p>
      <w:pPr>
        <w:pStyle w:val="ListNumber"/>
        <w:ind w:left="540" w:hanging="271"/>
      </w:pPr>
      <w:r>
        <w:rPr>
          <w:rFonts w:ascii="Arial" w:hAnsi="Arial"/>
          <w:color w:val="161616"/>
          <w:sz w:val="22"/>
        </w:rPr>
        <w:t>Close and report: Review evidence is completed, the period is controlled or locked, and reports are issued from posted records.</w:t>
      </w:r>
    </w:p>
    <w:tbl>
      <w:tblPr>
        <w:tblW w:type="dxa" w:w="9878"/>
        <w:jc w:val="left"/>
        <w:tblLayout w:type="fixed"/>
        <w:tblLook w:firstColumn="1" w:firstRow="1" w:lastColumn="0" w:lastRow="0" w:noHBand="0" w:noVBand="1" w:val="04A0"/>
        <w:tblInd w:w="0" w:type="dxa"/>
      </w:tblPr>
      <w:tblGrid>
        <w:gridCol w:w="9878"/>
      </w:tblGrid>
      <w:tr>
        <w:tc>
          <w:tcPr>
            <w:tcW w:type="dxa" w:w="9878"/>
            <w:tcMar>
              <w:top w:w="100" w:type="dxa"/>
              <w:start w:w="120" w:type="dxa"/>
              <w:bottom w:w="100" w:type="dxa"/>
              <w:end w:w="120" w:type="dxa"/>
            </w:tcMar>
            <w:vAlign w:val="center"/>
            <w:shd w:fill="E7F5ED"/>
          </w:tcPr>
          <w:p>
            <w:pPr>
              <w:spacing w:after="60"/>
            </w:pPr>
            <w:r>
              <w:rPr>
                <w:rFonts w:ascii="Arial" w:hAnsi="Arial"/>
                <w:b/>
                <w:color w:val="1F7A4D"/>
                <w:sz w:val="21"/>
              </w:rPr>
              <w:t>What posting means</w:t>
            </w:r>
          </w:p>
          <w:p>
            <w:pPr>
              <w:spacing w:after="0"/>
            </w:pPr>
            <w:r>
              <w:rPr>
                <w:rFonts w:ascii="Arial" w:hAnsi="Arial"/>
                <w:color w:val="161616"/>
                <w:sz w:val="19"/>
              </w:rPr>
              <w:t>Posting is the moment the transaction becomes part of the accounting books. Review before you press Post. A successful toast and changed queue status are the expected system confirmation.</w:t>
            </w:r>
          </w:p>
        </w:tc>
      </w:tr>
    </w:tbl>
    <w:p>
      <w:pPr>
        <w:spacing w:after="0"/>
      </w:pPr>
    </w:p>
    <w:p>
      <w:pPr>
        <w:pStyle w:val="Heading1"/>
      </w:pPr>
      <w:r>
        <w:t>3. Access, roles and navigation</w:t>
      </w:r>
    </w:p>
    <w:p>
      <w:pPr>
        <w:spacing w:before="60"/>
        <w:jc w:val="center"/>
      </w:pPr>
      <w:r>
        <w:drawing>
          <wp:inline xmlns:a="http://schemas.openxmlformats.org/drawingml/2006/main" xmlns:pic="http://schemas.openxmlformats.org/drawingml/2006/picture">
            <wp:extent cx="4434840" cy="5934417"/>
            <wp:docPr id="3" name="Picture 3"/>
            <wp:cNvGraphicFramePr>
              <a:graphicFrameLocks noChangeAspect="1"/>
            </wp:cNvGraphicFramePr>
            <a:graphic>
              <a:graphicData uri="http://schemas.openxmlformats.org/drawingml/2006/picture">
                <pic:pic>
                  <pic:nvPicPr>
                    <pic:cNvPr id="0" name="cropped-01-dashboard.png"/>
                    <pic:cNvPicPr/>
                  </pic:nvPicPr>
                  <pic:blipFill>
                    <a:blip r:embed="rId13"/>
                    <a:stretch>
                      <a:fillRect/>
                    </a:stretch>
                  </pic:blipFill>
                  <pic:spPr>
                    <a:xfrm>
                      <a:off x="0" y="0"/>
                      <a:ext cx="4434840" cy="5934417"/>
                    </a:xfrm>
                    <a:prstGeom prst="rect"/>
                  </pic:spPr>
                </pic:pic>
              </a:graphicData>
            </a:graphic>
          </wp:inline>
        </w:drawing>
      </w:r>
    </w:p>
    <w:p>
      <w:pPr>
        <w:spacing w:after="100"/>
        <w:jc w:val="center"/>
      </w:pPr>
      <w:r>
        <w:rPr>
          <w:rFonts w:ascii="Arial" w:hAnsi="Arial"/>
          <w:b/>
          <w:i/>
          <w:color w:val="666666"/>
          <w:sz w:val="17"/>
        </w:rPr>
        <w:t>Figure 2 — Central Accounts Dashboard and sidebar</w:t>
      </w:r>
    </w:p>
    <w:p>
      <w:pPr>
        <w:spacing w:after="80"/>
      </w:pPr>
      <w:r>
        <w:rPr>
          <w:rFonts w:ascii="Arial" w:hAnsi="Arial"/>
          <w:i w:val="0"/>
          <w:color w:val="161616"/>
          <w:sz w:val="22"/>
        </w:rPr>
        <w:t>The dashboard is the starting point. The left sidebar groups the module by the job being performed, while the control hub shows current posting health.</w:t>
      </w:r>
    </w:p>
    <w:p>
      <w:pPr>
        <w:pStyle w:val="ListBullet"/>
        <w:ind w:left="540" w:hanging="271"/>
      </w:pPr>
      <w:r>
        <w:rPr>
          <w:rFonts w:ascii="Arial" w:hAnsi="Arial"/>
          <w:color w:val="161616"/>
          <w:sz w:val="22"/>
        </w:rPr>
        <w:t>Home: Dashboard and Audit Events.</w:t>
      </w:r>
    </w:p>
    <w:p>
      <w:pPr>
        <w:pStyle w:val="ListBullet"/>
        <w:ind w:left="540" w:hanging="271"/>
      </w:pPr>
      <w:r>
        <w:rPr>
          <w:rFonts w:ascii="Arial" w:hAnsi="Arial"/>
          <w:color w:val="161616"/>
          <w:sz w:val="22"/>
        </w:rPr>
        <w:t>Accounting Operations: Financial Documents, Posting Queue, Journals and Manual Vouchers.</w:t>
      </w:r>
    </w:p>
    <w:p>
      <w:pPr>
        <w:pStyle w:val="ListBullet"/>
        <w:ind w:left="540" w:hanging="271"/>
      </w:pPr>
      <w:r>
        <w:rPr>
          <w:rFonts w:ascii="Arial" w:hAnsi="Arial"/>
          <w:color w:val="161616"/>
          <w:sz w:val="22"/>
        </w:rPr>
        <w:t>Working Books: Receivables, Payables, Treasury and Fixed Assets.</w:t>
      </w:r>
    </w:p>
    <w:p>
      <w:pPr>
        <w:pStyle w:val="ListBullet"/>
        <w:ind w:left="540" w:hanging="271"/>
      </w:pPr>
      <w:r>
        <w:rPr>
          <w:rFonts w:ascii="Arial" w:hAnsi="Arial"/>
          <w:color w:val="161616"/>
          <w:sz w:val="22"/>
        </w:rPr>
        <w:t>Statutory &amp; Controls: GST, TDS, Annual Tax, Close Controls and Tax &amp; Company Settings.</w:t>
      </w:r>
    </w:p>
    <w:p>
      <w:pPr>
        <w:pStyle w:val="ListBullet"/>
        <w:ind w:left="540" w:hanging="271"/>
      </w:pPr>
      <w:r>
        <w:rPr>
          <w:rFonts w:ascii="Arial" w:hAnsi="Arial"/>
          <w:color w:val="161616"/>
          <w:sz w:val="22"/>
        </w:rPr>
        <w:t>Financial Reporting: Reporting, Consolidated Books and Budgets &amp; Profitability.</w:t>
      </w:r>
    </w:p>
    <w:p>
      <w:pPr>
        <w:pStyle w:val="Heading2"/>
      </w:pPr>
      <w:r>
        <w:t>Typical responsibilities</w:t>
      </w:r>
    </w:p>
    <w:tbl>
      <w:tblPr>
        <w:tblStyle w:val="TableGrid"/>
        <w:tblW w:type="dxa" w:w="9378"/>
        <w:jc w:val="left"/>
        <w:tblLayout w:type="fixed"/>
        <w:tblLook w:firstColumn="1" w:firstRow="1" w:lastColumn="0" w:lastRow="0" w:noHBand="0" w:noVBand="1" w:val="04A0"/>
        <w:tblInd w:w="120" w:type="dxa"/>
      </w:tblPr>
      <w:tblGrid>
        <w:gridCol w:w="1650"/>
        <w:gridCol w:w="4020"/>
        <w:gridCol w:w="3708"/>
      </w:tblGrid>
      <w:tr>
        <w:trPr>
          <w:tblHeader w:val="true"/>
        </w:trPr>
        <w:tc>
          <w:tcPr>
            <w:tcW w:type="dxa" w:w="1650"/>
            <w:tcMar>
              <w:top w:w="100" w:type="dxa"/>
              <w:start w:w="120" w:type="dxa"/>
              <w:bottom w:w="100" w:type="dxa"/>
              <w:end w:w="120" w:type="dxa"/>
            </w:tcMar>
            <w:vAlign w:val="center"/>
            <w:shd w:fill="161616"/>
          </w:tcPr>
          <w:p>
            <w:pPr>
              <w:jc w:val="center"/>
            </w:pPr>
            <w:r>
              <w:rPr>
                <w:rFonts w:ascii="Arial" w:hAnsi="Arial"/>
                <w:b/>
                <w:color w:val="FFFFFF"/>
                <w:sz w:val="17"/>
              </w:rPr>
              <w:t>User type</w:t>
            </w:r>
          </w:p>
        </w:tc>
        <w:tc>
          <w:tcPr>
            <w:tcW w:type="dxa" w:w="4020"/>
            <w:tcMar>
              <w:top w:w="100" w:type="dxa"/>
              <w:start w:w="120" w:type="dxa"/>
              <w:bottom w:w="100" w:type="dxa"/>
              <w:end w:w="120" w:type="dxa"/>
            </w:tcMar>
            <w:vAlign w:val="center"/>
            <w:shd w:fill="161616"/>
          </w:tcPr>
          <w:p>
            <w:pPr>
              <w:jc w:val="center"/>
            </w:pPr>
            <w:r>
              <w:rPr>
                <w:rFonts w:ascii="Arial" w:hAnsi="Arial"/>
                <w:b/>
                <w:color w:val="FFFFFF"/>
                <w:sz w:val="17"/>
              </w:rPr>
              <w:t>Typical work</w:t>
            </w:r>
          </w:p>
        </w:tc>
        <w:tc>
          <w:tcPr>
            <w:tcW w:type="dxa" w:w="3708"/>
            <w:tcMar>
              <w:top w:w="100" w:type="dxa"/>
              <w:start w:w="120" w:type="dxa"/>
              <w:bottom w:w="100" w:type="dxa"/>
              <w:end w:w="120" w:type="dxa"/>
            </w:tcMar>
            <w:vAlign w:val="center"/>
            <w:shd w:fill="161616"/>
          </w:tcPr>
          <w:p>
            <w:pPr>
              <w:jc w:val="center"/>
            </w:pPr>
            <w:r>
              <w:rPr>
                <w:rFonts w:ascii="Arial" w:hAnsi="Arial"/>
                <w:b/>
                <w:color w:val="FFFFFF"/>
                <w:sz w:val="17"/>
              </w:rPr>
              <w:t>Control expectation</w:t>
            </w:r>
          </w:p>
        </w:tc>
      </w:tr>
      <w:tr>
        <w:tc>
          <w:tcPr>
            <w:tcW w:type="dxa" w:w="1650"/>
          </w:tcPr>
          <w:p>
            <w:pPr>
              <w:jc w:val="center"/>
            </w:pPr>
            <w:r>
              <w:rPr>
                <w:rFonts w:ascii="Arial" w:hAnsi="Arial"/>
                <w:color w:val="161616"/>
                <w:sz w:val="17"/>
              </w:rPr>
              <w:t>Accounts Executive</w:t>
            </w:r>
          </w:p>
        </w:tc>
        <w:tc>
          <w:tcPr>
            <w:tcW w:type="dxa" w:w="4020"/>
          </w:tcPr>
          <w:p>
            <w:pPr>
              <w:jc w:val="left"/>
            </w:pPr>
            <w:r>
              <w:rPr>
                <w:rFonts w:ascii="Arial" w:hAnsi="Arial"/>
                <w:color w:val="161616"/>
                <w:sz w:val="17"/>
              </w:rPr>
              <w:t>Prepare masters, records, reconciliations and supporting evidence.</w:t>
            </w:r>
          </w:p>
        </w:tc>
        <w:tc>
          <w:tcPr>
            <w:tcW w:type="dxa" w:w="3708"/>
          </w:tcPr>
          <w:p>
            <w:pPr>
              <w:jc w:val="left"/>
            </w:pPr>
            <w:r>
              <w:rPr>
                <w:rFonts w:ascii="Arial" w:hAnsi="Arial"/>
                <w:color w:val="161616"/>
                <w:sz w:val="17"/>
              </w:rPr>
              <w:t>Normally creates/edits; posting and approval depend on assigned permissions.</w:t>
            </w:r>
          </w:p>
        </w:tc>
      </w:tr>
      <w:tr>
        <w:tc>
          <w:tcPr>
            <w:tcW w:type="dxa" w:w="1650"/>
            <w:shd w:fill="FAFAFA"/>
          </w:tcPr>
          <w:p>
            <w:pPr>
              <w:jc w:val="center"/>
            </w:pPr>
            <w:r>
              <w:rPr>
                <w:rFonts w:ascii="Arial" w:hAnsi="Arial"/>
                <w:color w:val="161616"/>
                <w:sz w:val="17"/>
              </w:rPr>
              <w:t>Accounts Manager</w:t>
            </w:r>
          </w:p>
        </w:tc>
        <w:tc>
          <w:tcPr>
            <w:tcW w:type="dxa" w:w="4020"/>
            <w:shd w:fill="FAFAFA"/>
          </w:tcPr>
          <w:p>
            <w:pPr>
              <w:jc w:val="left"/>
            </w:pPr>
            <w:r>
              <w:rPr>
                <w:rFonts w:ascii="Arial" w:hAnsi="Arial"/>
                <w:color w:val="161616"/>
                <w:sz w:val="17"/>
              </w:rPr>
              <w:t>Reviews treatment, approves controlled items, posts where authorised and supervises close.</w:t>
            </w:r>
          </w:p>
        </w:tc>
        <w:tc>
          <w:tcPr>
            <w:tcW w:type="dxa" w:w="3708"/>
            <w:shd w:fill="FAFAFA"/>
          </w:tcPr>
          <w:p>
            <w:pPr>
              <w:jc w:val="left"/>
            </w:pPr>
            <w:r>
              <w:rPr>
                <w:rFonts w:ascii="Arial" w:hAnsi="Arial"/>
                <w:color w:val="161616"/>
                <w:sz w:val="17"/>
              </w:rPr>
              <w:t>Checks source, tax, dimensions and balances before approval/posting.</w:t>
            </w:r>
          </w:p>
        </w:tc>
      </w:tr>
      <w:tr>
        <w:tc>
          <w:tcPr>
            <w:tcW w:type="dxa" w:w="1650"/>
          </w:tcPr>
          <w:p>
            <w:pPr>
              <w:jc w:val="center"/>
            </w:pPr>
            <w:r>
              <w:rPr>
                <w:rFonts w:ascii="Arial" w:hAnsi="Arial"/>
                <w:color w:val="161616"/>
                <w:sz w:val="17"/>
              </w:rPr>
              <w:t>CFO / CA reviewer</w:t>
            </w:r>
          </w:p>
        </w:tc>
        <w:tc>
          <w:tcPr>
            <w:tcW w:type="dxa" w:w="4020"/>
          </w:tcPr>
          <w:p>
            <w:pPr>
              <w:jc w:val="left"/>
            </w:pPr>
            <w:r>
              <w:rPr>
                <w:rFonts w:ascii="Arial" w:hAnsi="Arial"/>
                <w:color w:val="161616"/>
                <w:sz w:val="17"/>
              </w:rPr>
              <w:t>Reviews financial statements, statutory positions, major adjustments and close readiness.</w:t>
            </w:r>
          </w:p>
        </w:tc>
        <w:tc>
          <w:tcPr>
            <w:tcW w:type="dxa" w:w="3708"/>
          </w:tcPr>
          <w:p>
            <w:pPr>
              <w:jc w:val="left"/>
            </w:pPr>
            <w:r>
              <w:rPr>
                <w:rFonts w:ascii="Arial" w:hAnsi="Arial"/>
                <w:color w:val="161616"/>
                <w:sz w:val="17"/>
              </w:rPr>
              <w:t>Challenges exceptions and approves only with sufficient evidence.</w:t>
            </w:r>
          </w:p>
        </w:tc>
      </w:tr>
      <w:tr>
        <w:tc>
          <w:tcPr>
            <w:tcW w:type="dxa" w:w="1650"/>
            <w:shd w:fill="FAFAFA"/>
          </w:tcPr>
          <w:p>
            <w:pPr>
              <w:jc w:val="center"/>
            </w:pPr>
            <w:r>
              <w:rPr>
                <w:rFonts w:ascii="Arial" w:hAnsi="Arial"/>
                <w:color w:val="161616"/>
                <w:sz w:val="17"/>
              </w:rPr>
              <w:t>Auditor</w:t>
            </w:r>
          </w:p>
        </w:tc>
        <w:tc>
          <w:tcPr>
            <w:tcW w:type="dxa" w:w="4020"/>
            <w:shd w:fill="FAFAFA"/>
          </w:tcPr>
          <w:p>
            <w:pPr>
              <w:jc w:val="left"/>
            </w:pPr>
            <w:r>
              <w:rPr>
                <w:rFonts w:ascii="Arial" w:hAnsi="Arial"/>
                <w:color w:val="161616"/>
                <w:sz w:val="17"/>
              </w:rPr>
              <w:t>Examines records, evidence, events and reports according to granted rights.</w:t>
            </w:r>
          </w:p>
        </w:tc>
        <w:tc>
          <w:tcPr>
            <w:tcW w:type="dxa" w:w="3708"/>
            <w:shd w:fill="FAFAFA"/>
          </w:tcPr>
          <w:p>
            <w:pPr>
              <w:jc w:val="left"/>
            </w:pPr>
            <w:r>
              <w:rPr>
                <w:rFonts w:ascii="Arial" w:hAnsi="Arial"/>
                <w:color w:val="161616"/>
                <w:sz w:val="17"/>
              </w:rPr>
              <w:t>Must not alter operational records unless explicitly authorised.</w:t>
            </w:r>
          </w:p>
        </w:tc>
      </w:tr>
      <w:tr>
        <w:tc>
          <w:tcPr>
            <w:tcW w:type="dxa" w:w="1650"/>
          </w:tcPr>
          <w:p>
            <w:pPr>
              <w:jc w:val="center"/>
            </w:pPr>
            <w:r>
              <w:rPr>
                <w:rFonts w:ascii="Arial" w:hAnsi="Arial"/>
                <w:color w:val="161616"/>
                <w:sz w:val="17"/>
              </w:rPr>
              <w:t>Administrator</w:t>
            </w:r>
          </w:p>
        </w:tc>
        <w:tc>
          <w:tcPr>
            <w:tcW w:type="dxa" w:w="4020"/>
          </w:tcPr>
          <w:p>
            <w:pPr>
              <w:jc w:val="left"/>
            </w:pPr>
            <w:r>
              <w:rPr>
                <w:rFonts w:ascii="Arial" w:hAnsi="Arial"/>
                <w:color w:val="161616"/>
                <w:sz w:val="17"/>
              </w:rPr>
              <w:t>Maintains access and technical configuration.</w:t>
            </w:r>
          </w:p>
        </w:tc>
        <w:tc>
          <w:tcPr>
            <w:tcW w:type="dxa" w:w="3708"/>
          </w:tcPr>
          <w:p>
            <w:pPr>
              <w:jc w:val="left"/>
            </w:pPr>
            <w:r>
              <w:rPr>
                <w:rFonts w:ascii="Arial" w:hAnsi="Arial"/>
                <w:color w:val="161616"/>
                <w:sz w:val="17"/>
              </w:rPr>
              <w:t>System access does not replace accounting approval.</w:t>
            </w:r>
          </w:p>
        </w:tc>
      </w:tr>
    </w:tbl>
    <w:p>
      <w:pPr>
        <w:spacing w:after="0"/>
      </w:pPr>
    </w:p>
    <w:tbl>
      <w:tblPr>
        <w:tblW w:type="dxa" w:w="9878"/>
        <w:jc w:val="left"/>
        <w:tblLayout w:type="fixed"/>
        <w:tblLook w:firstColumn="1" w:firstRow="1" w:lastColumn="0" w:lastRow="0" w:noHBand="0" w:noVBand="1" w:val="04A0"/>
        <w:tblInd w:w="0" w:type="dxa"/>
      </w:tblPr>
      <w:tblGrid>
        <w:gridCol w:w="9878"/>
      </w:tblGrid>
      <w:tr>
        <w:tc>
          <w:tcPr>
            <w:tcW w:type="dxa" w:w="9878"/>
            <w:tcMar>
              <w:top w:w="100" w:type="dxa"/>
              <w:start w:w="120" w:type="dxa"/>
              <w:bottom w:w="100" w:type="dxa"/>
              <w:end w:w="120" w:type="dxa"/>
            </w:tcMar>
            <w:vAlign w:val="center"/>
            <w:shd w:fill="F3F4F6"/>
          </w:tcPr>
          <w:p>
            <w:pPr>
              <w:spacing w:after="60"/>
            </w:pPr>
            <w:r>
              <w:rPr>
                <w:rFonts w:ascii="Arial" w:hAnsi="Arial"/>
                <w:b/>
                <w:color w:val="666666"/>
                <w:sz w:val="21"/>
              </w:rPr>
              <w:t>Permission-aware interface</w:t>
            </w:r>
          </w:p>
          <w:p>
            <w:pPr>
              <w:spacing w:after="0"/>
            </w:pPr>
            <w:r>
              <w:rPr>
                <w:rFonts w:ascii="Arial" w:hAnsi="Arial"/>
                <w:color w:val="161616"/>
                <w:sz w:val="19"/>
              </w:rPr>
              <w:t>Buttons appear only when your role has the required View, Create, Edit, Approve, Post, Reconcile or Export action. If a button is missing, do not share another user’s login; ask an administrator to review your assigned permissions.</w:t>
            </w:r>
          </w:p>
        </w:tc>
      </w:tr>
    </w:tbl>
    <w:p>
      <w:pPr>
        <w:spacing w:after="0"/>
      </w:pPr>
    </w:p>
    <w:p>
      <w:pPr>
        <w:pStyle w:val="Heading1"/>
      </w:pPr>
      <w:r>
        <w:t>4. Dashboard: start-of-day control check</w:t>
      </w:r>
    </w:p>
    <w:p>
      <w:pPr>
        <w:spacing w:after="120"/>
      </w:pPr>
      <w:r>
        <w:rPr>
          <w:rFonts w:ascii="Arial" w:hAnsi="Arial"/>
          <w:i w:val="0"/>
          <w:color w:val="161616"/>
          <w:sz w:val="22"/>
        </w:rPr>
        <w:t>At the start of each work session, use the dashboard to decide where attention is needed. The figures are control signals, not a replacement for ledger review.</w:t>
      </w:r>
    </w:p>
    <w:tbl>
      <w:tblPr>
        <w:tblStyle w:val="TableGrid"/>
        <w:tblW w:type="dxa" w:w="9378"/>
        <w:jc w:val="left"/>
        <w:tblLayout w:type="fixed"/>
        <w:tblLook w:firstColumn="1" w:firstRow="1" w:lastColumn="0" w:lastRow="0" w:noHBand="0" w:noVBand="1" w:val="04A0"/>
        <w:tblInd w:w="120" w:type="dxa"/>
      </w:tblPr>
      <w:tblGrid>
        <w:gridCol w:w="1700"/>
        <w:gridCol w:w="4250"/>
        <w:gridCol w:w="3428"/>
      </w:tblGrid>
      <w:tr>
        <w:trPr>
          <w:tblHeader w:val="true"/>
        </w:trPr>
        <w:tc>
          <w:tcPr>
            <w:tcW w:type="dxa" w:w="1700"/>
            <w:tcMar>
              <w:top w:w="100" w:type="dxa"/>
              <w:start w:w="120" w:type="dxa"/>
              <w:bottom w:w="100" w:type="dxa"/>
              <w:end w:w="120" w:type="dxa"/>
            </w:tcMar>
            <w:vAlign w:val="center"/>
            <w:shd w:fill="161616"/>
          </w:tcPr>
          <w:p>
            <w:pPr>
              <w:jc w:val="center"/>
            </w:pPr>
            <w:r>
              <w:rPr>
                <w:rFonts w:ascii="Arial" w:hAnsi="Arial"/>
                <w:b/>
                <w:color w:val="FFFFFF"/>
                <w:sz w:val="17"/>
              </w:rPr>
              <w:t>Indicator</w:t>
            </w:r>
          </w:p>
        </w:tc>
        <w:tc>
          <w:tcPr>
            <w:tcW w:type="dxa" w:w="4250"/>
            <w:tcMar>
              <w:top w:w="100" w:type="dxa"/>
              <w:start w:w="120" w:type="dxa"/>
              <w:bottom w:w="100" w:type="dxa"/>
              <w:end w:w="120" w:type="dxa"/>
            </w:tcMar>
            <w:vAlign w:val="center"/>
            <w:shd w:fill="161616"/>
          </w:tcPr>
          <w:p>
            <w:pPr>
              <w:jc w:val="center"/>
            </w:pPr>
            <w:r>
              <w:rPr>
                <w:rFonts w:ascii="Arial" w:hAnsi="Arial"/>
                <w:b/>
                <w:color w:val="FFFFFF"/>
                <w:sz w:val="17"/>
              </w:rPr>
              <w:t>What it tells you</w:t>
            </w:r>
          </w:p>
        </w:tc>
        <w:tc>
          <w:tcPr>
            <w:tcW w:type="dxa" w:w="3428"/>
            <w:tcMar>
              <w:top w:w="100" w:type="dxa"/>
              <w:start w:w="120" w:type="dxa"/>
              <w:bottom w:w="100" w:type="dxa"/>
              <w:end w:w="120" w:type="dxa"/>
            </w:tcMar>
            <w:vAlign w:val="center"/>
            <w:shd w:fill="161616"/>
          </w:tcPr>
          <w:p>
            <w:pPr>
              <w:jc w:val="center"/>
            </w:pPr>
            <w:r>
              <w:rPr>
                <w:rFonts w:ascii="Arial" w:hAnsi="Arial"/>
                <w:b/>
                <w:color w:val="FFFFFF"/>
                <w:sz w:val="17"/>
              </w:rPr>
              <w:t>Action</w:t>
            </w:r>
          </w:p>
        </w:tc>
      </w:tr>
      <w:tr>
        <w:tc>
          <w:tcPr>
            <w:tcW w:type="dxa" w:w="1700"/>
          </w:tcPr>
          <w:p>
            <w:pPr>
              <w:jc w:val="center"/>
            </w:pPr>
            <w:r>
              <w:rPr>
                <w:rFonts w:ascii="Arial" w:hAnsi="Arial"/>
                <w:color w:val="161616"/>
                <w:sz w:val="17"/>
              </w:rPr>
              <w:t>Ready To Post</w:t>
            </w:r>
          </w:p>
        </w:tc>
        <w:tc>
          <w:tcPr>
            <w:tcW w:type="dxa" w:w="4250"/>
          </w:tcPr>
          <w:p>
            <w:pPr>
              <w:jc w:val="left"/>
            </w:pPr>
            <w:r>
              <w:rPr>
                <w:rFonts w:ascii="Arial" w:hAnsi="Arial"/>
                <w:color w:val="161616"/>
                <w:sz w:val="17"/>
              </w:rPr>
              <w:t>Validated documents waiting for authorised posting.</w:t>
            </w:r>
          </w:p>
        </w:tc>
        <w:tc>
          <w:tcPr>
            <w:tcW w:type="dxa" w:w="3428"/>
          </w:tcPr>
          <w:p>
            <w:pPr>
              <w:jc w:val="left"/>
            </w:pPr>
            <w:r>
              <w:rPr>
                <w:rFonts w:ascii="Arial" w:hAnsi="Arial"/>
                <w:color w:val="161616"/>
                <w:sz w:val="17"/>
              </w:rPr>
              <w:t>Open Posting Queue; review oldest and highest-risk items first.</w:t>
            </w:r>
          </w:p>
        </w:tc>
      </w:tr>
      <w:tr>
        <w:tc>
          <w:tcPr>
            <w:tcW w:type="dxa" w:w="1700"/>
            <w:shd w:fill="FAFAFA"/>
          </w:tcPr>
          <w:p>
            <w:pPr>
              <w:jc w:val="center"/>
            </w:pPr>
            <w:r>
              <w:rPr>
                <w:rFonts w:ascii="Arial" w:hAnsi="Arial"/>
                <w:color w:val="161616"/>
                <w:sz w:val="17"/>
              </w:rPr>
              <w:t>Posted</w:t>
            </w:r>
          </w:p>
        </w:tc>
        <w:tc>
          <w:tcPr>
            <w:tcW w:type="dxa" w:w="4250"/>
            <w:shd w:fill="FAFAFA"/>
          </w:tcPr>
          <w:p>
            <w:pPr>
              <w:jc w:val="left"/>
            </w:pPr>
            <w:r>
              <w:rPr>
                <w:rFonts w:ascii="Arial" w:hAnsi="Arial"/>
                <w:color w:val="161616"/>
                <w:sz w:val="17"/>
              </w:rPr>
              <w:t>Documents successfully posted to the ledger.</w:t>
            </w:r>
          </w:p>
        </w:tc>
        <w:tc>
          <w:tcPr>
            <w:tcW w:type="dxa" w:w="3428"/>
            <w:shd w:fill="FAFAFA"/>
          </w:tcPr>
          <w:p>
            <w:pPr>
              <w:jc w:val="left"/>
            </w:pPr>
            <w:r>
              <w:rPr>
                <w:rFonts w:ascii="Arial" w:hAnsi="Arial"/>
                <w:color w:val="161616"/>
                <w:sz w:val="17"/>
              </w:rPr>
              <w:t>Use Journals and reports to verify the resulting entry.</w:t>
            </w:r>
          </w:p>
        </w:tc>
      </w:tr>
      <w:tr>
        <w:tc>
          <w:tcPr>
            <w:tcW w:type="dxa" w:w="1700"/>
          </w:tcPr>
          <w:p>
            <w:pPr>
              <w:jc w:val="center"/>
            </w:pPr>
            <w:r>
              <w:rPr>
                <w:rFonts w:ascii="Arial" w:hAnsi="Arial"/>
                <w:color w:val="161616"/>
                <w:sz w:val="17"/>
              </w:rPr>
              <w:t>Failed</w:t>
            </w:r>
          </w:p>
        </w:tc>
        <w:tc>
          <w:tcPr>
            <w:tcW w:type="dxa" w:w="4250"/>
          </w:tcPr>
          <w:p>
            <w:pPr>
              <w:jc w:val="left"/>
            </w:pPr>
            <w:r>
              <w:rPr>
                <w:rFonts w:ascii="Arial" w:hAnsi="Arial"/>
                <w:color w:val="161616"/>
                <w:sz w:val="17"/>
              </w:rPr>
              <w:t>Posting attempts that did not complete.</w:t>
            </w:r>
          </w:p>
        </w:tc>
        <w:tc>
          <w:tcPr>
            <w:tcW w:type="dxa" w:w="3428"/>
          </w:tcPr>
          <w:p>
            <w:pPr>
              <w:jc w:val="left"/>
            </w:pPr>
            <w:r>
              <w:rPr>
                <w:rFonts w:ascii="Arial" w:hAnsi="Arial"/>
                <w:color w:val="161616"/>
                <w:sz w:val="17"/>
              </w:rPr>
              <w:t>Read the error, correct the underlying issue, and retry only after review.</w:t>
            </w:r>
          </w:p>
        </w:tc>
      </w:tr>
      <w:tr>
        <w:tc>
          <w:tcPr>
            <w:tcW w:type="dxa" w:w="1700"/>
            <w:shd w:fill="FAFAFA"/>
          </w:tcPr>
          <w:p>
            <w:pPr>
              <w:jc w:val="center"/>
            </w:pPr>
            <w:r>
              <w:rPr>
                <w:rFonts w:ascii="Arial" w:hAnsi="Arial"/>
                <w:color w:val="161616"/>
                <w:sz w:val="17"/>
              </w:rPr>
              <w:t>Financial Documents</w:t>
            </w:r>
          </w:p>
        </w:tc>
        <w:tc>
          <w:tcPr>
            <w:tcW w:type="dxa" w:w="4250"/>
            <w:shd w:fill="FAFAFA"/>
          </w:tcPr>
          <w:p>
            <w:pPr>
              <w:jc w:val="left"/>
            </w:pPr>
            <w:r>
              <w:rPr>
                <w:rFonts w:ascii="Arial" w:hAnsi="Arial"/>
                <w:color w:val="161616"/>
                <w:sz w:val="17"/>
              </w:rPr>
              <w:t>Total staged/posted accounting documents in scope.</w:t>
            </w:r>
          </w:p>
        </w:tc>
        <w:tc>
          <w:tcPr>
            <w:tcW w:type="dxa" w:w="3428"/>
            <w:shd w:fill="FAFAFA"/>
          </w:tcPr>
          <w:p>
            <w:pPr>
              <w:jc w:val="left"/>
            </w:pPr>
            <w:r>
              <w:rPr>
                <w:rFonts w:ascii="Arial" w:hAnsi="Arial"/>
                <w:color w:val="161616"/>
                <w:sz w:val="17"/>
              </w:rPr>
              <w:t>Use filters to locate a source item and inspect its details.</w:t>
            </w:r>
          </w:p>
        </w:tc>
      </w:tr>
      <w:tr>
        <w:tc>
          <w:tcPr>
            <w:tcW w:type="dxa" w:w="1700"/>
          </w:tcPr>
          <w:p>
            <w:pPr>
              <w:jc w:val="center"/>
            </w:pPr>
            <w:r>
              <w:rPr>
                <w:rFonts w:ascii="Arial" w:hAnsi="Arial"/>
                <w:color w:val="161616"/>
                <w:sz w:val="17"/>
              </w:rPr>
              <w:t>Receivables / Payables</w:t>
            </w:r>
          </w:p>
        </w:tc>
        <w:tc>
          <w:tcPr>
            <w:tcW w:type="dxa" w:w="4250"/>
          </w:tcPr>
          <w:p>
            <w:pPr>
              <w:jc w:val="left"/>
            </w:pPr>
            <w:r>
              <w:rPr>
                <w:rFonts w:ascii="Arial" w:hAnsi="Arial"/>
                <w:color w:val="161616"/>
                <w:sz w:val="17"/>
              </w:rPr>
              <w:t>Current open customer/vendor exposure shown by the dashboard dataset.</w:t>
            </w:r>
          </w:p>
        </w:tc>
        <w:tc>
          <w:tcPr>
            <w:tcW w:type="dxa" w:w="3428"/>
          </w:tcPr>
          <w:p>
            <w:pPr>
              <w:jc w:val="left"/>
            </w:pPr>
            <w:r>
              <w:rPr>
                <w:rFonts w:ascii="Arial" w:hAnsi="Arial"/>
                <w:color w:val="161616"/>
                <w:sz w:val="17"/>
              </w:rPr>
              <w:t>Reconcile against working books and source division records.</w:t>
            </w:r>
          </w:p>
        </w:tc>
      </w:tr>
    </w:tbl>
    <w:p>
      <w:pPr>
        <w:spacing w:after="0"/>
      </w:pPr>
    </w:p>
    <w:tbl>
      <w:tblPr>
        <w:tblW w:type="dxa" w:w="9878"/>
        <w:jc w:val="left"/>
        <w:tblLayout w:type="fixed"/>
        <w:tblLook w:firstColumn="1" w:firstRow="1" w:lastColumn="0" w:lastRow="0" w:noHBand="0" w:noVBand="1" w:val="04A0"/>
        <w:tblInd w:w="0" w:type="dxa"/>
      </w:tblPr>
      <w:tblGrid>
        <w:gridCol w:w="9878"/>
      </w:tblGrid>
      <w:tr>
        <w:tc>
          <w:tcPr>
            <w:tcW w:type="dxa" w:w="9878"/>
            <w:tcMar>
              <w:top w:w="100" w:type="dxa"/>
              <w:start w:w="120" w:type="dxa"/>
              <w:bottom w:w="100" w:type="dxa"/>
              <w:end w:w="120" w:type="dxa"/>
            </w:tcMar>
            <w:vAlign w:val="center"/>
            <w:shd w:fill="F7F1E2"/>
          </w:tcPr>
          <w:p>
            <w:pPr>
              <w:spacing w:after="60"/>
            </w:pPr>
            <w:r>
              <w:rPr>
                <w:rFonts w:ascii="Arial" w:hAnsi="Arial"/>
                <w:b/>
                <w:color w:val="7B5B19"/>
                <w:sz w:val="21"/>
              </w:rPr>
              <w:t>Do not rely on colour alone</w:t>
            </w:r>
          </w:p>
          <w:p>
            <w:pPr>
              <w:spacing w:after="0"/>
            </w:pPr>
            <w:r>
              <w:rPr>
                <w:rFonts w:ascii="Arial" w:hAnsi="Arial"/>
                <w:color w:val="161616"/>
                <w:sz w:val="19"/>
              </w:rPr>
              <w:t>Always read the status text and amount. A zero balance may mean there are no posted open items, not that every source division has completed its billing workflow.</w:t>
            </w:r>
          </w:p>
        </w:tc>
      </w:tr>
    </w:tbl>
    <w:p>
      <w:pPr>
        <w:spacing w:after="0"/>
      </w:pPr>
    </w:p>
    <w:p>
      <w:pPr>
        <w:pStyle w:val="Heading1"/>
      </w:pPr>
      <w:r>
        <w:t>5. Financial Documents: verify the staged source</w:t>
      </w:r>
    </w:p>
    <w:p>
      <w:pPr>
        <w:spacing w:before="60"/>
        <w:jc w:val="center"/>
      </w:pPr>
      <w:r>
        <w:drawing>
          <wp:inline xmlns:a="http://schemas.openxmlformats.org/drawingml/2006/main" xmlns:pic="http://schemas.openxmlformats.org/drawingml/2006/picture">
            <wp:extent cx="4434840" cy="5934417"/>
            <wp:docPr id="4" name="Picture 4"/>
            <wp:cNvGraphicFramePr>
              <a:graphicFrameLocks noChangeAspect="1"/>
            </wp:cNvGraphicFramePr>
            <a:graphic>
              <a:graphicData uri="http://schemas.openxmlformats.org/drawingml/2006/picture">
                <pic:pic>
                  <pic:nvPicPr>
                    <pic:cNvPr id="0" name="cropped-02-financial-documents.png"/>
                    <pic:cNvPicPr/>
                  </pic:nvPicPr>
                  <pic:blipFill>
                    <a:blip r:embed="rId14"/>
                    <a:stretch>
                      <a:fillRect/>
                    </a:stretch>
                  </pic:blipFill>
                  <pic:spPr>
                    <a:xfrm>
                      <a:off x="0" y="0"/>
                      <a:ext cx="4434840" cy="5934417"/>
                    </a:xfrm>
                    <a:prstGeom prst="rect"/>
                  </pic:spPr>
                </pic:pic>
              </a:graphicData>
            </a:graphic>
          </wp:inline>
        </w:drawing>
      </w:r>
    </w:p>
    <w:p>
      <w:pPr>
        <w:spacing w:after="100"/>
        <w:jc w:val="center"/>
      </w:pPr>
      <w:r>
        <w:rPr>
          <w:rFonts w:ascii="Arial" w:hAnsi="Arial"/>
          <w:b/>
          <w:i/>
          <w:color w:val="666666"/>
          <w:sz w:val="17"/>
        </w:rPr>
        <w:t>Figure 3 — Financial Documents register</w:t>
      </w:r>
    </w:p>
    <w:p>
      <w:pPr>
        <w:spacing w:after="80"/>
      </w:pPr>
      <w:r>
        <w:rPr>
          <w:rFonts w:ascii="Arial" w:hAnsi="Arial"/>
          <w:i w:val="0"/>
          <w:color w:val="161616"/>
          <w:sz w:val="22"/>
        </w:rPr>
        <w:t>This register is the bridge between approved operational documents and the accounting ledger. Use it to confirm what EMS intends to post.</w:t>
      </w:r>
    </w:p>
    <w:p>
      <w:pPr>
        <w:pStyle w:val="ListBullet"/>
        <w:ind w:left="540" w:hanging="271"/>
      </w:pPr>
      <w:r>
        <w:rPr>
          <w:rFonts w:ascii="Arial" w:hAnsi="Arial"/>
          <w:color w:val="161616"/>
          <w:sz w:val="22"/>
        </w:rPr>
        <w:t>Search by document number or family and filter by status.</w:t>
      </w:r>
    </w:p>
    <w:p>
      <w:pPr>
        <w:pStyle w:val="ListBullet"/>
        <w:ind w:left="540" w:hanging="271"/>
      </w:pPr>
      <w:r>
        <w:rPr>
          <w:rFonts w:ascii="Arial" w:hAnsi="Arial"/>
          <w:color w:val="161616"/>
          <w:sz w:val="22"/>
        </w:rPr>
        <w:t>Review document family, date, counterparty/dimension and net amount.</w:t>
      </w:r>
    </w:p>
    <w:p>
      <w:pPr>
        <w:pStyle w:val="ListBullet"/>
        <w:ind w:left="540" w:hanging="271"/>
      </w:pPr>
      <w:r>
        <w:rPr>
          <w:rFonts w:ascii="Arial" w:hAnsi="Arial"/>
          <w:color w:val="161616"/>
          <w:sz w:val="22"/>
        </w:rPr>
        <w:t>Open View to inspect queue context, posting sequence and the full record payload.</w:t>
      </w:r>
    </w:p>
    <w:p>
      <w:pPr>
        <w:pStyle w:val="ListBullet"/>
        <w:ind w:left="540" w:hanging="271"/>
      </w:pPr>
      <w:r>
        <w:rPr>
          <w:rFonts w:ascii="Arial" w:hAnsi="Arial"/>
          <w:color w:val="161616"/>
          <w:sz w:val="22"/>
        </w:rPr>
        <w:t>Do not post from this screen; posting occurs in Posting Queue after review.</w:t>
      </w:r>
    </w:p>
    <w:p>
      <w:pPr>
        <w:pStyle w:val="Heading2"/>
      </w:pPr>
      <w:r>
        <w:t>Document families you may see</w:t>
      </w:r>
    </w:p>
    <w:tbl>
      <w:tblPr>
        <w:tblStyle w:val="TableGrid"/>
        <w:tblW w:type="dxa" w:w="9378"/>
        <w:jc w:val="left"/>
        <w:tblLayout w:type="fixed"/>
        <w:tblLook w:firstColumn="1" w:firstRow="1" w:lastColumn="0" w:lastRow="0" w:noHBand="0" w:noVBand="1" w:val="04A0"/>
        <w:tblInd w:w="120" w:type="dxa"/>
      </w:tblPr>
      <w:tblGrid>
        <w:gridCol w:w="2300"/>
        <w:gridCol w:w="3778"/>
        <w:gridCol w:w="3300"/>
      </w:tblGrid>
      <w:tr>
        <w:trPr>
          <w:tblHeader w:val="true"/>
        </w:trPr>
        <w:tc>
          <w:tcPr>
            <w:tcW w:type="dxa" w:w="2300"/>
            <w:tcMar>
              <w:top w:w="100" w:type="dxa"/>
              <w:start w:w="120" w:type="dxa"/>
              <w:bottom w:w="100" w:type="dxa"/>
              <w:end w:w="120" w:type="dxa"/>
            </w:tcMar>
            <w:vAlign w:val="center"/>
            <w:shd w:fill="161616"/>
          </w:tcPr>
          <w:p>
            <w:pPr>
              <w:jc w:val="center"/>
            </w:pPr>
            <w:r>
              <w:rPr>
                <w:rFonts w:ascii="Arial" w:hAnsi="Arial"/>
                <w:b/>
                <w:color w:val="FFFFFF"/>
                <w:sz w:val="17"/>
              </w:rPr>
              <w:t>Family</w:t>
            </w:r>
          </w:p>
        </w:tc>
        <w:tc>
          <w:tcPr>
            <w:tcW w:type="dxa" w:w="3778"/>
            <w:tcMar>
              <w:top w:w="100" w:type="dxa"/>
              <w:start w:w="120" w:type="dxa"/>
              <w:bottom w:w="100" w:type="dxa"/>
              <w:end w:w="120" w:type="dxa"/>
            </w:tcMar>
            <w:vAlign w:val="center"/>
            <w:shd w:fill="161616"/>
          </w:tcPr>
          <w:p>
            <w:pPr>
              <w:jc w:val="center"/>
            </w:pPr>
            <w:r>
              <w:rPr>
                <w:rFonts w:ascii="Arial" w:hAnsi="Arial"/>
                <w:b/>
                <w:color w:val="FFFFFF"/>
                <w:sz w:val="17"/>
              </w:rPr>
              <w:t>Business meaning</w:t>
            </w:r>
          </w:p>
        </w:tc>
        <w:tc>
          <w:tcPr>
            <w:tcW w:type="dxa" w:w="3300"/>
            <w:tcMar>
              <w:top w:w="100" w:type="dxa"/>
              <w:start w:w="120" w:type="dxa"/>
              <w:bottom w:w="100" w:type="dxa"/>
              <w:end w:w="120" w:type="dxa"/>
            </w:tcMar>
            <w:vAlign w:val="center"/>
            <w:shd w:fill="161616"/>
          </w:tcPr>
          <w:p>
            <w:pPr>
              <w:jc w:val="center"/>
            </w:pPr>
            <w:r>
              <w:rPr>
                <w:rFonts w:ascii="Arial" w:hAnsi="Arial"/>
                <w:b/>
                <w:color w:val="FFFFFF"/>
                <w:sz w:val="17"/>
              </w:rPr>
              <w:t>Likely accounting effect</w:t>
            </w:r>
          </w:p>
        </w:tc>
      </w:tr>
      <w:tr>
        <w:tc>
          <w:tcPr>
            <w:tcW w:type="dxa" w:w="2300"/>
          </w:tcPr>
          <w:p>
            <w:pPr>
              <w:jc w:val="center"/>
            </w:pPr>
            <w:r>
              <w:rPr>
                <w:rFonts w:ascii="Arial" w:hAnsi="Arial"/>
                <w:color w:val="161616"/>
                <w:sz w:val="17"/>
              </w:rPr>
              <w:t>CLIENT_BILL / GST_INVOICE</w:t>
            </w:r>
          </w:p>
        </w:tc>
        <w:tc>
          <w:tcPr>
            <w:tcW w:type="dxa" w:w="3778"/>
          </w:tcPr>
          <w:p>
            <w:pPr>
              <w:jc w:val="left"/>
            </w:pPr>
            <w:r>
              <w:rPr>
                <w:rFonts w:ascii="Arial" w:hAnsi="Arial"/>
                <w:color w:val="161616"/>
                <w:sz w:val="17"/>
              </w:rPr>
              <w:t>Amount billed to a customer.</w:t>
            </w:r>
          </w:p>
        </w:tc>
        <w:tc>
          <w:tcPr>
            <w:tcW w:type="dxa" w:w="3300"/>
          </w:tcPr>
          <w:p>
            <w:pPr>
              <w:jc w:val="left"/>
            </w:pPr>
            <w:r>
              <w:rPr>
                <w:rFonts w:ascii="Arial" w:hAnsi="Arial"/>
                <w:color w:val="161616"/>
                <w:sz w:val="17"/>
              </w:rPr>
              <w:t>Revenue, output tax and receivable.</w:t>
            </w:r>
          </w:p>
        </w:tc>
      </w:tr>
      <w:tr>
        <w:tc>
          <w:tcPr>
            <w:tcW w:type="dxa" w:w="2300"/>
            <w:shd w:fill="FAFAFA"/>
          </w:tcPr>
          <w:p>
            <w:pPr>
              <w:jc w:val="center"/>
            </w:pPr>
            <w:r>
              <w:rPr>
                <w:rFonts w:ascii="Arial" w:hAnsi="Arial"/>
                <w:color w:val="161616"/>
                <w:sz w:val="17"/>
              </w:rPr>
              <w:t>CLIENT_RECEIPT</w:t>
            </w:r>
          </w:p>
        </w:tc>
        <w:tc>
          <w:tcPr>
            <w:tcW w:type="dxa" w:w="3778"/>
            <w:shd w:fill="FAFAFA"/>
          </w:tcPr>
          <w:p>
            <w:pPr>
              <w:jc w:val="left"/>
            </w:pPr>
            <w:r>
              <w:rPr>
                <w:rFonts w:ascii="Arial" w:hAnsi="Arial"/>
                <w:color w:val="161616"/>
                <w:sz w:val="17"/>
              </w:rPr>
              <w:t>Money collected from a customer.</w:t>
            </w:r>
          </w:p>
        </w:tc>
        <w:tc>
          <w:tcPr>
            <w:tcW w:type="dxa" w:w="3300"/>
            <w:shd w:fill="FAFAFA"/>
          </w:tcPr>
          <w:p>
            <w:pPr>
              <w:jc w:val="left"/>
            </w:pPr>
            <w:r>
              <w:rPr>
                <w:rFonts w:ascii="Arial" w:hAnsi="Arial"/>
                <w:color w:val="161616"/>
                <w:sz w:val="17"/>
              </w:rPr>
              <w:t>Bank/cash increases and receivable reduces.</w:t>
            </w:r>
          </w:p>
        </w:tc>
      </w:tr>
      <w:tr>
        <w:tc>
          <w:tcPr>
            <w:tcW w:type="dxa" w:w="2300"/>
          </w:tcPr>
          <w:p>
            <w:pPr>
              <w:jc w:val="center"/>
            </w:pPr>
            <w:r>
              <w:rPr>
                <w:rFonts w:ascii="Arial" w:hAnsi="Arial"/>
                <w:color w:val="161616"/>
                <w:sz w:val="17"/>
              </w:rPr>
              <w:t>CREDIT_NOTE</w:t>
            </w:r>
          </w:p>
        </w:tc>
        <w:tc>
          <w:tcPr>
            <w:tcW w:type="dxa" w:w="3778"/>
          </w:tcPr>
          <w:p>
            <w:pPr>
              <w:jc w:val="left"/>
            </w:pPr>
            <w:r>
              <w:rPr>
                <w:rFonts w:ascii="Arial" w:hAnsi="Arial"/>
                <w:color w:val="161616"/>
                <w:sz w:val="17"/>
              </w:rPr>
              <w:t>Reduction or correction to customer billing.</w:t>
            </w:r>
          </w:p>
        </w:tc>
        <w:tc>
          <w:tcPr>
            <w:tcW w:type="dxa" w:w="3300"/>
          </w:tcPr>
          <w:p>
            <w:pPr>
              <w:jc w:val="left"/>
            </w:pPr>
            <w:r>
              <w:rPr>
                <w:rFonts w:ascii="Arial" w:hAnsi="Arial"/>
                <w:color w:val="161616"/>
                <w:sz w:val="17"/>
              </w:rPr>
              <w:t>Revenue/tax and receivable adjustment.</w:t>
            </w:r>
          </w:p>
        </w:tc>
      </w:tr>
      <w:tr>
        <w:tc>
          <w:tcPr>
            <w:tcW w:type="dxa" w:w="2300"/>
            <w:shd w:fill="FAFAFA"/>
          </w:tcPr>
          <w:p>
            <w:pPr>
              <w:jc w:val="center"/>
            </w:pPr>
            <w:r>
              <w:rPr>
                <w:rFonts w:ascii="Arial" w:hAnsi="Arial"/>
                <w:color w:val="161616"/>
                <w:sz w:val="17"/>
              </w:rPr>
              <w:t>TRANSPORTER_STATEMENT</w:t>
            </w:r>
          </w:p>
        </w:tc>
        <w:tc>
          <w:tcPr>
            <w:tcW w:type="dxa" w:w="3778"/>
            <w:shd w:fill="FAFAFA"/>
          </w:tcPr>
          <w:p>
            <w:pPr>
              <w:jc w:val="left"/>
            </w:pPr>
            <w:r>
              <w:rPr>
                <w:rFonts w:ascii="Arial" w:hAnsi="Arial"/>
                <w:color w:val="161616"/>
                <w:sz w:val="17"/>
              </w:rPr>
              <w:t>Approved transporter/vendor liability.</w:t>
            </w:r>
          </w:p>
        </w:tc>
        <w:tc>
          <w:tcPr>
            <w:tcW w:type="dxa" w:w="3300"/>
            <w:shd w:fill="FAFAFA"/>
          </w:tcPr>
          <w:p>
            <w:pPr>
              <w:jc w:val="left"/>
            </w:pPr>
            <w:r>
              <w:rPr>
                <w:rFonts w:ascii="Arial" w:hAnsi="Arial"/>
                <w:color w:val="161616"/>
                <w:sz w:val="17"/>
              </w:rPr>
              <w:t>Expense/input tax and payable.</w:t>
            </w:r>
          </w:p>
        </w:tc>
      </w:tr>
      <w:tr>
        <w:tc>
          <w:tcPr>
            <w:tcW w:type="dxa" w:w="2300"/>
          </w:tcPr>
          <w:p>
            <w:pPr>
              <w:jc w:val="center"/>
            </w:pPr>
            <w:r>
              <w:rPr>
                <w:rFonts w:ascii="Arial" w:hAnsi="Arial"/>
                <w:color w:val="161616"/>
                <w:sz w:val="17"/>
              </w:rPr>
              <w:t>TRANSPORTER_PAYMENT</w:t>
            </w:r>
          </w:p>
        </w:tc>
        <w:tc>
          <w:tcPr>
            <w:tcW w:type="dxa" w:w="3778"/>
          </w:tcPr>
          <w:p>
            <w:pPr>
              <w:jc w:val="left"/>
            </w:pPr>
            <w:r>
              <w:rPr>
                <w:rFonts w:ascii="Arial" w:hAnsi="Arial"/>
                <w:color w:val="161616"/>
                <w:sz w:val="17"/>
              </w:rPr>
              <w:t>Settlement of a transporter/vendor balance.</w:t>
            </w:r>
          </w:p>
        </w:tc>
        <w:tc>
          <w:tcPr>
            <w:tcW w:type="dxa" w:w="3300"/>
          </w:tcPr>
          <w:p>
            <w:pPr>
              <w:jc w:val="left"/>
            </w:pPr>
            <w:r>
              <w:rPr>
                <w:rFonts w:ascii="Arial" w:hAnsi="Arial"/>
                <w:color w:val="161616"/>
                <w:sz w:val="17"/>
              </w:rPr>
              <w:t>Payable reduces and bank/cash reduces.</w:t>
            </w:r>
          </w:p>
        </w:tc>
      </w:tr>
      <w:tr>
        <w:tc>
          <w:tcPr>
            <w:tcW w:type="dxa" w:w="2300"/>
            <w:shd w:fill="FAFAFA"/>
          </w:tcPr>
          <w:p>
            <w:pPr>
              <w:jc w:val="center"/>
            </w:pPr>
            <w:r>
              <w:rPr>
                <w:rFonts w:ascii="Arial" w:hAnsi="Arial"/>
                <w:color w:val="161616"/>
                <w:sz w:val="17"/>
              </w:rPr>
              <w:t>INTERIOR_BILL / division invoice</w:t>
            </w:r>
          </w:p>
        </w:tc>
        <w:tc>
          <w:tcPr>
            <w:tcW w:type="dxa" w:w="3778"/>
            <w:shd w:fill="FAFAFA"/>
          </w:tcPr>
          <w:p>
            <w:pPr>
              <w:jc w:val="left"/>
            </w:pPr>
            <w:r>
              <w:rPr>
                <w:rFonts w:ascii="Arial" w:hAnsi="Arial"/>
                <w:color w:val="161616"/>
                <w:sz w:val="17"/>
              </w:rPr>
              <w:t>Approved bill from another EMS division.</w:t>
            </w:r>
          </w:p>
        </w:tc>
        <w:tc>
          <w:tcPr>
            <w:tcW w:type="dxa" w:w="3300"/>
            <w:shd w:fill="FAFAFA"/>
          </w:tcPr>
          <w:p>
            <w:pPr>
              <w:jc w:val="left"/>
            </w:pPr>
            <w:r>
              <w:rPr>
                <w:rFonts w:ascii="Arial" w:hAnsi="Arial"/>
                <w:color w:val="161616"/>
                <w:sz w:val="17"/>
              </w:rPr>
              <w:t>Configured revenue/tax/receivable treatment.</w:t>
            </w:r>
          </w:p>
        </w:tc>
      </w:tr>
    </w:tbl>
    <w:p>
      <w:pPr>
        <w:spacing w:after="0"/>
      </w:pPr>
    </w:p>
    <w:p>
      <w:pPr>
        <w:pStyle w:val="Heading2"/>
      </w:pPr>
      <w:r>
        <w:t>Pre-post validation</w:t>
      </w:r>
    </w:p>
    <w:p>
      <w:pPr>
        <w:pStyle w:val="ListBullet"/>
        <w:ind w:left="540" w:hanging="271"/>
      </w:pPr>
      <w:r>
        <w:rPr>
          <w:rFonts w:ascii="Arial" w:hAnsi="Arial"/>
          <w:color w:val="161616"/>
          <w:sz w:val="22"/>
        </w:rPr>
        <w:t>The source document number exists and matches the approved division record.</w:t>
      </w:r>
    </w:p>
    <w:p>
      <w:pPr>
        <w:pStyle w:val="ListBullet"/>
        <w:ind w:left="540" w:hanging="271"/>
      </w:pPr>
      <w:r>
        <w:rPr>
          <w:rFonts w:ascii="Arial" w:hAnsi="Arial"/>
          <w:color w:val="161616"/>
          <w:sz w:val="22"/>
        </w:rPr>
        <w:t>The document date and accounting period are correct and open.</w:t>
      </w:r>
    </w:p>
    <w:p>
      <w:pPr>
        <w:pStyle w:val="ListBullet"/>
        <w:ind w:left="540" w:hanging="271"/>
      </w:pPr>
      <w:r>
        <w:rPr>
          <w:rFonts w:ascii="Arial" w:hAnsi="Arial"/>
          <w:color w:val="161616"/>
          <w:sz w:val="22"/>
        </w:rPr>
        <w:t>The counterparty and reporting division/dimension are correct.</w:t>
      </w:r>
    </w:p>
    <w:p>
      <w:pPr>
        <w:pStyle w:val="ListBullet"/>
        <w:ind w:left="540" w:hanging="271"/>
      </w:pPr>
      <w:r>
        <w:rPr>
          <w:rFonts w:ascii="Arial" w:hAnsi="Arial"/>
          <w:color w:val="161616"/>
          <w:sz w:val="22"/>
        </w:rPr>
        <w:t>Taxable value, GST/TDS components and net amount agree with the source.</w:t>
      </w:r>
    </w:p>
    <w:p>
      <w:pPr>
        <w:pStyle w:val="ListBullet"/>
        <w:ind w:left="540" w:hanging="271"/>
      </w:pPr>
      <w:r>
        <w:rPr>
          <w:rFonts w:ascii="Arial" w:hAnsi="Arial"/>
          <w:color w:val="161616"/>
          <w:sz w:val="22"/>
        </w:rPr>
        <w:t>Required evidence is attached or referenced and there is no unresolved exception.</w:t>
      </w:r>
    </w:p>
    <w:p>
      <w:pPr>
        <w:pStyle w:val="Heading1"/>
      </w:pPr>
      <w:r>
        <w:t>6. Posting Queue: create the accounting entry</w:t>
      </w:r>
    </w:p>
    <w:p>
      <w:pPr>
        <w:spacing w:before="60"/>
        <w:jc w:val="center"/>
      </w:pPr>
      <w:r>
        <w:drawing>
          <wp:inline xmlns:a="http://schemas.openxmlformats.org/drawingml/2006/main" xmlns:pic="http://schemas.openxmlformats.org/drawingml/2006/picture">
            <wp:extent cx="4434840" cy="5934417"/>
            <wp:docPr id="5" name="Picture 5"/>
            <wp:cNvGraphicFramePr>
              <a:graphicFrameLocks noChangeAspect="1"/>
            </wp:cNvGraphicFramePr>
            <a:graphic>
              <a:graphicData uri="http://schemas.openxmlformats.org/drawingml/2006/picture">
                <pic:pic>
                  <pic:nvPicPr>
                    <pic:cNvPr id="0" name="cropped-03-posting-queue.png"/>
                    <pic:cNvPicPr/>
                  </pic:nvPicPr>
                  <pic:blipFill>
                    <a:blip r:embed="rId15"/>
                    <a:stretch>
                      <a:fillRect/>
                    </a:stretch>
                  </pic:blipFill>
                  <pic:spPr>
                    <a:xfrm>
                      <a:off x="0" y="0"/>
                      <a:ext cx="4434840" cy="5934417"/>
                    </a:xfrm>
                    <a:prstGeom prst="rect"/>
                  </pic:spPr>
                </pic:pic>
              </a:graphicData>
            </a:graphic>
          </wp:inline>
        </w:drawing>
      </w:r>
    </w:p>
    <w:p>
      <w:pPr>
        <w:spacing w:after="100"/>
        <w:jc w:val="center"/>
      </w:pPr>
      <w:r>
        <w:rPr>
          <w:rFonts w:ascii="Arial" w:hAnsi="Arial"/>
          <w:b/>
          <w:i/>
          <w:color w:val="666666"/>
          <w:sz w:val="17"/>
        </w:rPr>
        <w:t>Figure 4 — Posting Queue</w:t>
      </w:r>
    </w:p>
    <w:p>
      <w:pPr>
        <w:spacing w:after="80"/>
      </w:pPr>
      <w:r>
        <w:rPr>
          <w:rFonts w:ascii="Arial" w:hAnsi="Arial"/>
          <w:i w:val="0"/>
          <w:color w:val="161616"/>
          <w:sz w:val="22"/>
        </w:rPr>
        <w:t>The Posting Queue shows documents that are ready, processing, posted or failed. Only users with Post permission receive an active Post button.</w:t>
      </w:r>
    </w:p>
    <w:p>
      <w:pPr>
        <w:pStyle w:val="ListBullet"/>
        <w:ind w:left="540" w:hanging="271"/>
      </w:pPr>
      <w:r>
        <w:rPr>
          <w:rFonts w:ascii="Arial" w:hAnsi="Arial"/>
          <w:color w:val="161616"/>
          <w:sz w:val="22"/>
        </w:rPr>
        <w:t>Ready To Post means the item is eligible for a posting attempt; it does not remove the reviewer’s responsibility.</w:t>
      </w:r>
    </w:p>
    <w:p>
      <w:pPr>
        <w:pStyle w:val="ListBullet"/>
        <w:ind w:left="540" w:hanging="271"/>
      </w:pPr>
      <w:r>
        <w:rPr>
          <w:rFonts w:ascii="Arial" w:hAnsi="Arial"/>
          <w:color w:val="161616"/>
          <w:sz w:val="22"/>
        </w:rPr>
        <w:t>Posting Sequence is the traceable link used to connect the document, posting job and journal.</w:t>
      </w:r>
    </w:p>
    <w:p>
      <w:pPr>
        <w:pStyle w:val="ListBullet"/>
        <w:ind w:left="540" w:hanging="271"/>
      </w:pPr>
      <w:r>
        <w:rPr>
          <w:rFonts w:ascii="Arial" w:hAnsi="Arial"/>
          <w:color w:val="161616"/>
          <w:sz w:val="22"/>
        </w:rPr>
        <w:t>Failed items require diagnosis. Repeated clicking is not a correction method.</w:t>
      </w:r>
    </w:p>
    <w:p>
      <w:pPr>
        <w:pStyle w:val="ListBullet"/>
        <w:ind w:left="540" w:hanging="271"/>
      </w:pPr>
      <w:r>
        <w:rPr>
          <w:rFonts w:ascii="Arial" w:hAnsi="Arial"/>
          <w:color w:val="161616"/>
          <w:sz w:val="22"/>
        </w:rPr>
        <w:t>EMS asks for confirmation before executing the posting.</w:t>
      </w:r>
    </w:p>
    <w:p>
      <w:pPr>
        <w:pStyle w:val="Heading2"/>
      </w:pPr>
      <w:r>
        <w:t>Safe posting procedure</w:t>
      </w:r>
    </w:p>
    <w:p>
      <w:pPr>
        <w:pStyle w:val="ListNumber"/>
        <w:ind w:left="540" w:hanging="271"/>
      </w:pPr>
      <w:r>
        <w:rPr>
          <w:rFonts w:ascii="Arial" w:hAnsi="Arial"/>
          <w:color w:val="161616"/>
          <w:sz w:val="22"/>
        </w:rPr>
        <w:t>Filter to Ready To Post and locate the intended source document.</w:t>
      </w:r>
    </w:p>
    <w:p>
      <w:pPr>
        <w:pStyle w:val="ListNumber"/>
        <w:ind w:left="540" w:hanging="271"/>
      </w:pPr>
      <w:r>
        <w:rPr>
          <w:rFonts w:ascii="Arial" w:hAnsi="Arial"/>
          <w:color w:val="161616"/>
          <w:sz w:val="22"/>
        </w:rPr>
        <w:t>Return to Financial Documents and verify its family, amount, date, counterparty and queue context.</w:t>
      </w:r>
    </w:p>
    <w:p>
      <w:pPr>
        <w:pStyle w:val="ListNumber"/>
        <w:ind w:left="540" w:hanging="271"/>
      </w:pPr>
      <w:r>
        <w:rPr>
          <w:rFonts w:ascii="Arial" w:hAnsi="Arial"/>
          <w:color w:val="161616"/>
          <w:sz w:val="22"/>
        </w:rPr>
        <w:t>Confirm the source division has approved the transaction and no later cancellation or revision exists.</w:t>
      </w:r>
    </w:p>
    <w:p>
      <w:pPr>
        <w:pStyle w:val="ListNumber"/>
        <w:ind w:left="540" w:hanging="271"/>
      </w:pPr>
      <w:r>
        <w:rPr>
          <w:rFonts w:ascii="Arial" w:hAnsi="Arial"/>
          <w:color w:val="161616"/>
          <w:sz w:val="22"/>
        </w:rPr>
        <w:t>Check the accounting period, tax treatment and expected debit/credit impact.</w:t>
      </w:r>
    </w:p>
    <w:p>
      <w:pPr>
        <w:pStyle w:val="ListNumber"/>
        <w:ind w:left="540" w:hanging="271"/>
      </w:pPr>
      <w:r>
        <w:rPr>
          <w:rFonts w:ascii="Arial" w:hAnsi="Arial"/>
          <w:color w:val="161616"/>
          <w:sz w:val="22"/>
        </w:rPr>
        <w:t>Select Post once and confirm the system prompt.</w:t>
      </w:r>
    </w:p>
    <w:p>
      <w:pPr>
        <w:pStyle w:val="ListNumber"/>
        <w:ind w:left="540" w:hanging="271"/>
      </w:pPr>
      <w:r>
        <w:rPr>
          <w:rFonts w:ascii="Arial" w:hAnsi="Arial"/>
          <w:color w:val="161616"/>
          <w:sz w:val="22"/>
        </w:rPr>
        <w:t>Wait for the success message and refreshed queue status.</w:t>
      </w:r>
    </w:p>
    <w:p>
      <w:pPr>
        <w:pStyle w:val="ListNumber"/>
        <w:ind w:left="540" w:hanging="271"/>
      </w:pPr>
      <w:r>
        <w:rPr>
          <w:rFonts w:ascii="Arial" w:hAnsi="Arial"/>
          <w:color w:val="161616"/>
          <w:sz w:val="22"/>
        </w:rPr>
        <w:t>Open Journals and verify the resulting entry is balanced and carries the correct reference.</w:t>
      </w:r>
    </w:p>
    <w:tbl>
      <w:tblPr>
        <w:tblW w:type="dxa" w:w="9878"/>
        <w:jc w:val="left"/>
        <w:tblLayout w:type="fixed"/>
        <w:tblLook w:firstColumn="1" w:firstRow="1" w:lastColumn="0" w:lastRow="0" w:noHBand="0" w:noVBand="1" w:val="04A0"/>
        <w:tblInd w:w="0" w:type="dxa"/>
      </w:tblPr>
      <w:tblGrid>
        <w:gridCol w:w="9878"/>
      </w:tblGrid>
      <w:tr>
        <w:tc>
          <w:tcPr>
            <w:tcW w:type="dxa" w:w="9878"/>
            <w:tcMar>
              <w:top w:w="100" w:type="dxa"/>
              <w:start w:w="120" w:type="dxa"/>
              <w:bottom w:w="100" w:type="dxa"/>
              <w:end w:w="120" w:type="dxa"/>
            </w:tcMar>
            <w:vAlign w:val="center"/>
            <w:shd w:fill="FCECEC"/>
          </w:tcPr>
          <w:p>
            <w:pPr>
              <w:spacing w:after="60"/>
            </w:pPr>
            <w:r>
              <w:rPr>
                <w:rFonts w:ascii="Arial" w:hAnsi="Arial"/>
                <w:b/>
                <w:color w:val="9B1C1C"/>
                <w:sz w:val="21"/>
              </w:rPr>
              <w:t>If posting fails</w:t>
            </w:r>
          </w:p>
          <w:p>
            <w:pPr>
              <w:spacing w:after="0"/>
            </w:pPr>
            <w:r>
              <w:rPr>
                <w:rFonts w:ascii="Arial" w:hAnsi="Arial"/>
                <w:color w:val="161616"/>
                <w:sz w:val="19"/>
              </w:rPr>
              <w:t>Record the exact error and source document. Check missing account mappings, closed periods, invalid status, duplicated posting, unbalanced lines or missing master data. Correct the cause, then retry once. Escalate repeated failures to the Accounts Manager/system administrator.</w:t>
            </w:r>
          </w:p>
        </w:tc>
      </w:tr>
    </w:tbl>
    <w:p>
      <w:pPr>
        <w:spacing w:after="0"/>
      </w:pPr>
    </w:p>
    <w:p>
      <w:pPr>
        <w:pStyle w:val="Heading1"/>
      </w:pPr>
      <w:r>
        <w:t>7. Journals and Manual Vouchers</w:t>
      </w:r>
    </w:p>
    <w:p>
      <w:pPr>
        <w:spacing w:before="60"/>
        <w:jc w:val="center"/>
      </w:pPr>
      <w:r>
        <w:drawing>
          <wp:inline xmlns:a="http://schemas.openxmlformats.org/drawingml/2006/main" xmlns:pic="http://schemas.openxmlformats.org/drawingml/2006/picture">
            <wp:extent cx="4434840" cy="5934417"/>
            <wp:docPr id="6" name="Picture 6"/>
            <wp:cNvGraphicFramePr>
              <a:graphicFrameLocks noChangeAspect="1"/>
            </wp:cNvGraphicFramePr>
            <a:graphic>
              <a:graphicData uri="http://schemas.openxmlformats.org/drawingml/2006/picture">
                <pic:pic>
                  <pic:nvPicPr>
                    <pic:cNvPr id="0" name="cropped-04-manual-vouchers.png"/>
                    <pic:cNvPicPr/>
                  </pic:nvPicPr>
                  <pic:blipFill>
                    <a:blip r:embed="rId16"/>
                    <a:stretch>
                      <a:fillRect/>
                    </a:stretch>
                  </pic:blipFill>
                  <pic:spPr>
                    <a:xfrm>
                      <a:off x="0" y="0"/>
                      <a:ext cx="4434840" cy="5934417"/>
                    </a:xfrm>
                    <a:prstGeom prst="rect"/>
                  </pic:spPr>
                </pic:pic>
              </a:graphicData>
            </a:graphic>
          </wp:inline>
        </w:drawing>
      </w:r>
    </w:p>
    <w:p>
      <w:pPr>
        <w:spacing w:after="100"/>
        <w:jc w:val="center"/>
      </w:pPr>
      <w:r>
        <w:rPr>
          <w:rFonts w:ascii="Arial" w:hAnsi="Arial"/>
          <w:b/>
          <w:i/>
          <w:color w:val="666666"/>
          <w:sz w:val="17"/>
        </w:rPr>
        <w:t>Figure 5 — Manual Voucher entry and register</w:t>
      </w:r>
    </w:p>
    <w:p>
      <w:pPr>
        <w:spacing w:after="80"/>
      </w:pPr>
      <w:r>
        <w:rPr>
          <w:rFonts w:ascii="Arial" w:hAnsi="Arial"/>
          <w:i w:val="0"/>
          <w:color w:val="161616"/>
          <w:sz w:val="22"/>
        </w:rPr>
        <w:t>Use Manual Vouchers only for authorised accounting entries that do not originate from a normal source workflow, such as accruals, provisions, prepaids, opening entries and documented adjustments.</w:t>
      </w:r>
    </w:p>
    <w:p>
      <w:pPr>
        <w:pStyle w:val="ListBullet"/>
        <w:ind w:left="540" w:hanging="271"/>
      </w:pPr>
      <w:r>
        <w:rPr>
          <w:rFonts w:ascii="Arial" w:hAnsi="Arial"/>
          <w:color w:val="161616"/>
          <w:sz w:val="22"/>
        </w:rPr>
        <w:t>Choose the voucher type and date, then select the relevant division or company scope.</w:t>
      </w:r>
    </w:p>
    <w:p>
      <w:pPr>
        <w:pStyle w:val="ListBullet"/>
        <w:ind w:left="540" w:hanging="271"/>
      </w:pPr>
      <w:r>
        <w:rPr>
          <w:rFonts w:ascii="Arial" w:hAnsi="Arial"/>
          <w:color w:val="161616"/>
          <w:sz w:val="22"/>
        </w:rPr>
        <w:t>Provide a meaningful reference and narration that another reviewer can understand.</w:t>
      </w:r>
    </w:p>
    <w:p>
      <w:pPr>
        <w:pStyle w:val="ListBullet"/>
        <w:ind w:left="540" w:hanging="271"/>
      </w:pPr>
      <w:r>
        <w:rPr>
          <w:rFonts w:ascii="Arial" w:hAnsi="Arial"/>
          <w:color w:val="161616"/>
          <w:sz w:val="22"/>
        </w:rPr>
        <w:t>Add at least two lines and keep total debit exactly equal to total credit.</w:t>
      </w:r>
    </w:p>
    <w:p>
      <w:pPr>
        <w:pStyle w:val="ListBullet"/>
        <w:ind w:left="540" w:hanging="271"/>
      </w:pPr>
      <w:r>
        <w:rPr>
          <w:rFonts w:ascii="Arial" w:hAnsi="Arial"/>
          <w:color w:val="161616"/>
          <w:sz w:val="22"/>
        </w:rPr>
        <w:t>Submitted vouchers move through approval and posting according to permissions.</w:t>
      </w:r>
    </w:p>
    <w:p>
      <w:pPr>
        <w:pStyle w:val="Heading2"/>
      </w:pPr>
      <w:r>
        <w:t>Voucher types</w:t>
      </w:r>
    </w:p>
    <w:tbl>
      <w:tblPr>
        <w:tblStyle w:val="TableGrid"/>
        <w:tblW w:type="dxa" w:w="9378"/>
        <w:jc w:val="left"/>
        <w:tblLayout w:type="fixed"/>
        <w:tblLook w:firstColumn="1" w:firstRow="1" w:lastColumn="0" w:lastRow="0" w:noHBand="0" w:noVBand="1" w:val="04A0"/>
        <w:tblInd w:w="120" w:type="dxa"/>
      </w:tblPr>
      <w:tblGrid>
        <w:gridCol w:w="2300"/>
        <w:gridCol w:w="7078"/>
      </w:tblGrid>
      <w:tr>
        <w:trPr>
          <w:tblHeader w:val="true"/>
        </w:trPr>
        <w:tc>
          <w:tcPr>
            <w:tcW w:type="dxa" w:w="2300"/>
            <w:tcMar>
              <w:top w:w="100" w:type="dxa"/>
              <w:start w:w="120" w:type="dxa"/>
              <w:bottom w:w="100" w:type="dxa"/>
              <w:end w:w="120" w:type="dxa"/>
            </w:tcMar>
            <w:vAlign w:val="center"/>
            <w:shd w:fill="161616"/>
          </w:tcPr>
          <w:p>
            <w:pPr>
              <w:jc w:val="center"/>
            </w:pPr>
            <w:r>
              <w:rPr>
                <w:rFonts w:ascii="Arial" w:hAnsi="Arial"/>
                <w:b/>
                <w:color w:val="FFFFFF"/>
                <w:sz w:val="18"/>
              </w:rPr>
              <w:t>Type</w:t>
            </w:r>
          </w:p>
        </w:tc>
        <w:tc>
          <w:tcPr>
            <w:tcW w:type="dxa" w:w="7078"/>
            <w:tcMar>
              <w:top w:w="100" w:type="dxa"/>
              <w:start w:w="120" w:type="dxa"/>
              <w:bottom w:w="100" w:type="dxa"/>
              <w:end w:w="120" w:type="dxa"/>
            </w:tcMar>
            <w:vAlign w:val="center"/>
            <w:shd w:fill="161616"/>
          </w:tcPr>
          <w:p>
            <w:pPr>
              <w:jc w:val="center"/>
            </w:pPr>
            <w:r>
              <w:rPr>
                <w:rFonts w:ascii="Arial" w:hAnsi="Arial"/>
                <w:b/>
                <w:color w:val="FFFFFF"/>
                <w:sz w:val="18"/>
              </w:rPr>
              <w:t>Use it for</w:t>
            </w:r>
          </w:p>
        </w:tc>
      </w:tr>
      <w:tr>
        <w:tc>
          <w:tcPr>
            <w:tcW w:type="dxa" w:w="2300"/>
          </w:tcPr>
          <w:p>
            <w:pPr>
              <w:jc w:val="center"/>
            </w:pPr>
            <w:r>
              <w:rPr>
                <w:rFonts w:ascii="Arial" w:hAnsi="Arial"/>
                <w:color w:val="161616"/>
                <w:sz w:val="18"/>
              </w:rPr>
              <w:t>journal / adjustment</w:t>
            </w:r>
          </w:p>
        </w:tc>
        <w:tc>
          <w:tcPr>
            <w:tcW w:type="dxa" w:w="7078"/>
          </w:tcPr>
          <w:p>
            <w:pPr>
              <w:jc w:val="left"/>
            </w:pPr>
            <w:r>
              <w:rPr>
                <w:rFonts w:ascii="Arial" w:hAnsi="Arial"/>
                <w:color w:val="161616"/>
                <w:sz w:val="18"/>
              </w:rPr>
              <w:t>General reclassification or supported correcting entry.</w:t>
            </w:r>
          </w:p>
        </w:tc>
      </w:tr>
      <w:tr>
        <w:tc>
          <w:tcPr>
            <w:tcW w:type="dxa" w:w="2300"/>
            <w:shd w:fill="FAFAFA"/>
          </w:tcPr>
          <w:p>
            <w:pPr>
              <w:jc w:val="center"/>
            </w:pPr>
            <w:r>
              <w:rPr>
                <w:rFonts w:ascii="Arial" w:hAnsi="Arial"/>
                <w:color w:val="161616"/>
                <w:sz w:val="18"/>
              </w:rPr>
              <w:t>payment</w:t>
            </w:r>
          </w:p>
        </w:tc>
        <w:tc>
          <w:tcPr>
            <w:tcW w:type="dxa" w:w="7078"/>
            <w:shd w:fill="FAFAFA"/>
          </w:tcPr>
          <w:p>
            <w:pPr>
              <w:jc w:val="left"/>
            </w:pPr>
            <w:r>
              <w:rPr>
                <w:rFonts w:ascii="Arial" w:hAnsi="Arial"/>
                <w:color w:val="161616"/>
                <w:sz w:val="18"/>
              </w:rPr>
              <w:t>Authorised payment entry not already generated by a controlled source workflow.</w:t>
            </w:r>
          </w:p>
        </w:tc>
      </w:tr>
      <w:tr>
        <w:tc>
          <w:tcPr>
            <w:tcW w:type="dxa" w:w="2300"/>
          </w:tcPr>
          <w:p>
            <w:pPr>
              <w:jc w:val="center"/>
            </w:pPr>
            <w:r>
              <w:rPr>
                <w:rFonts w:ascii="Arial" w:hAnsi="Arial"/>
                <w:color w:val="161616"/>
                <w:sz w:val="18"/>
              </w:rPr>
              <w:t>receipt</w:t>
            </w:r>
          </w:p>
        </w:tc>
        <w:tc>
          <w:tcPr>
            <w:tcW w:type="dxa" w:w="7078"/>
          </w:tcPr>
          <w:p>
            <w:pPr>
              <w:jc w:val="left"/>
            </w:pPr>
            <w:r>
              <w:rPr>
                <w:rFonts w:ascii="Arial" w:hAnsi="Arial"/>
                <w:color w:val="161616"/>
                <w:sz w:val="18"/>
              </w:rPr>
              <w:t>Authorised receipt entry not already generated by the receivable workflow.</w:t>
            </w:r>
          </w:p>
        </w:tc>
      </w:tr>
      <w:tr>
        <w:tc>
          <w:tcPr>
            <w:tcW w:type="dxa" w:w="2300"/>
            <w:shd w:fill="FAFAFA"/>
          </w:tcPr>
          <w:p>
            <w:pPr>
              <w:jc w:val="center"/>
            </w:pPr>
            <w:r>
              <w:rPr>
                <w:rFonts w:ascii="Arial" w:hAnsi="Arial"/>
                <w:color w:val="161616"/>
                <w:sz w:val="18"/>
              </w:rPr>
              <w:t>contra</w:t>
            </w:r>
          </w:p>
        </w:tc>
        <w:tc>
          <w:tcPr>
            <w:tcW w:type="dxa" w:w="7078"/>
            <w:shd w:fill="FAFAFA"/>
          </w:tcPr>
          <w:p>
            <w:pPr>
              <w:jc w:val="left"/>
            </w:pPr>
            <w:r>
              <w:rPr>
                <w:rFonts w:ascii="Arial" w:hAnsi="Arial"/>
                <w:color w:val="161616"/>
                <w:sz w:val="18"/>
              </w:rPr>
              <w:t>Transfer between cash/bank accounts.</w:t>
            </w:r>
          </w:p>
        </w:tc>
      </w:tr>
      <w:tr>
        <w:tc>
          <w:tcPr>
            <w:tcW w:type="dxa" w:w="2300"/>
          </w:tcPr>
          <w:p>
            <w:pPr>
              <w:jc w:val="center"/>
            </w:pPr>
            <w:r>
              <w:rPr>
                <w:rFonts w:ascii="Arial" w:hAnsi="Arial"/>
                <w:color w:val="161616"/>
                <w:sz w:val="18"/>
              </w:rPr>
              <w:t>accrual / provision</w:t>
            </w:r>
          </w:p>
        </w:tc>
        <w:tc>
          <w:tcPr>
            <w:tcW w:type="dxa" w:w="7078"/>
          </w:tcPr>
          <w:p>
            <w:pPr>
              <w:jc w:val="left"/>
            </w:pPr>
            <w:r>
              <w:rPr>
                <w:rFonts w:ascii="Arial" w:hAnsi="Arial"/>
                <w:color w:val="161616"/>
                <w:sz w:val="18"/>
              </w:rPr>
              <w:t>Recognising an expense or liability before final settlement.</w:t>
            </w:r>
          </w:p>
        </w:tc>
      </w:tr>
      <w:tr>
        <w:tc>
          <w:tcPr>
            <w:tcW w:type="dxa" w:w="2300"/>
            <w:shd w:fill="FAFAFA"/>
          </w:tcPr>
          <w:p>
            <w:pPr>
              <w:jc w:val="center"/>
            </w:pPr>
            <w:r>
              <w:rPr>
                <w:rFonts w:ascii="Arial" w:hAnsi="Arial"/>
                <w:color w:val="161616"/>
                <w:sz w:val="18"/>
              </w:rPr>
              <w:t>prepaid</w:t>
            </w:r>
          </w:p>
        </w:tc>
        <w:tc>
          <w:tcPr>
            <w:tcW w:type="dxa" w:w="7078"/>
            <w:shd w:fill="FAFAFA"/>
          </w:tcPr>
          <w:p>
            <w:pPr>
              <w:jc w:val="left"/>
            </w:pPr>
            <w:r>
              <w:rPr>
                <w:rFonts w:ascii="Arial" w:hAnsi="Arial"/>
                <w:color w:val="161616"/>
                <w:sz w:val="18"/>
              </w:rPr>
              <w:t>Recording or releasing expenditure relating to a future period.</w:t>
            </w:r>
          </w:p>
        </w:tc>
      </w:tr>
      <w:tr>
        <w:tc>
          <w:tcPr>
            <w:tcW w:type="dxa" w:w="2300"/>
          </w:tcPr>
          <w:p>
            <w:pPr>
              <w:jc w:val="center"/>
            </w:pPr>
            <w:r>
              <w:rPr>
                <w:rFonts w:ascii="Arial" w:hAnsi="Arial"/>
                <w:color w:val="161616"/>
                <w:sz w:val="18"/>
              </w:rPr>
              <w:t>opening</w:t>
            </w:r>
          </w:p>
        </w:tc>
        <w:tc>
          <w:tcPr>
            <w:tcW w:type="dxa" w:w="7078"/>
          </w:tcPr>
          <w:p>
            <w:pPr>
              <w:jc w:val="left"/>
            </w:pPr>
            <w:r>
              <w:rPr>
                <w:rFonts w:ascii="Arial" w:hAnsi="Arial"/>
                <w:color w:val="161616"/>
                <w:sz w:val="18"/>
              </w:rPr>
              <w:t>Controlled opening balances during implementation or approved migration.</w:t>
            </w:r>
          </w:p>
        </w:tc>
      </w:tr>
    </w:tbl>
    <w:p>
      <w:pPr>
        <w:spacing w:after="0"/>
      </w:pPr>
    </w:p>
    <w:tbl>
      <w:tblPr>
        <w:tblW w:type="dxa" w:w="9878"/>
        <w:jc w:val="left"/>
        <w:tblLayout w:type="fixed"/>
        <w:tblLook w:firstColumn="1" w:firstRow="1" w:lastColumn="0" w:lastRow="0" w:noHBand="0" w:noVBand="1" w:val="04A0"/>
        <w:tblInd w:w="0" w:type="dxa"/>
      </w:tblPr>
      <w:tblGrid>
        <w:gridCol w:w="9878"/>
      </w:tblGrid>
      <w:tr>
        <w:tc>
          <w:tcPr>
            <w:tcW w:type="dxa" w:w="9878"/>
            <w:tcMar>
              <w:top w:w="100" w:type="dxa"/>
              <w:start w:w="120" w:type="dxa"/>
              <w:bottom w:w="100" w:type="dxa"/>
              <w:end w:w="120" w:type="dxa"/>
            </w:tcMar>
            <w:vAlign w:val="center"/>
            <w:shd w:fill="F3F4F6"/>
          </w:tcPr>
          <w:p>
            <w:pPr>
              <w:spacing w:after="60"/>
            </w:pPr>
            <w:r>
              <w:rPr>
                <w:rFonts w:ascii="Arial" w:hAnsi="Arial"/>
                <w:b/>
                <w:color w:val="666666"/>
                <w:sz w:val="21"/>
              </w:rPr>
              <w:t>Journal register</w:t>
            </w:r>
          </w:p>
          <w:p>
            <w:pPr>
              <w:spacing w:after="0"/>
            </w:pPr>
            <w:r>
              <w:rPr>
                <w:rFonts w:ascii="Arial" w:hAnsi="Arial"/>
                <w:color w:val="161616"/>
                <w:sz w:val="19"/>
              </w:rPr>
              <w:t>The Journals screen is read-only and provides header/line drill-down. A valid journal must have equal debit and credit totals. Use the journal number and source reference when investigating balances.</w:t>
            </w:r>
          </w:p>
        </w:tc>
      </w:tr>
    </w:tbl>
    <w:p>
      <w:pPr>
        <w:spacing w:after="0"/>
      </w:pPr>
    </w:p>
    <w:p>
      <w:pPr>
        <w:pStyle w:val="Heading1"/>
      </w:pPr>
      <w:r>
        <w:t>8. Receivables and Payables</w:t>
      </w:r>
    </w:p>
    <w:p>
      <w:pPr>
        <w:spacing w:before="60"/>
        <w:jc w:val="center"/>
      </w:pPr>
      <w:r>
        <w:drawing>
          <wp:inline xmlns:a="http://schemas.openxmlformats.org/drawingml/2006/main" xmlns:pic="http://schemas.openxmlformats.org/drawingml/2006/picture">
            <wp:extent cx="4434840" cy="5934417"/>
            <wp:docPr id="7" name="Picture 7"/>
            <wp:cNvGraphicFramePr>
              <a:graphicFrameLocks noChangeAspect="1"/>
            </wp:cNvGraphicFramePr>
            <a:graphic>
              <a:graphicData uri="http://schemas.openxmlformats.org/drawingml/2006/picture">
                <pic:pic>
                  <pic:nvPicPr>
                    <pic:cNvPr id="0" name="cropped-05-payables.png"/>
                    <pic:cNvPicPr/>
                  </pic:nvPicPr>
                  <pic:blipFill>
                    <a:blip r:embed="rId17"/>
                    <a:stretch>
                      <a:fillRect/>
                    </a:stretch>
                  </pic:blipFill>
                  <pic:spPr>
                    <a:xfrm>
                      <a:off x="0" y="0"/>
                      <a:ext cx="4434840" cy="5934417"/>
                    </a:xfrm>
                    <a:prstGeom prst="rect"/>
                  </pic:spPr>
                </pic:pic>
              </a:graphicData>
            </a:graphic>
          </wp:inline>
        </w:drawing>
      </w:r>
    </w:p>
    <w:p>
      <w:pPr>
        <w:spacing w:after="100"/>
        <w:jc w:val="center"/>
      </w:pPr>
      <w:r>
        <w:rPr>
          <w:rFonts w:ascii="Arial" w:hAnsi="Arial"/>
          <w:b/>
          <w:i/>
          <w:color w:val="666666"/>
          <w:sz w:val="17"/>
        </w:rPr>
        <w:t>Figure 6 — Payables and vendor accounting</w:t>
      </w:r>
    </w:p>
    <w:p>
      <w:pPr>
        <w:spacing w:after="80"/>
      </w:pPr>
      <w:r>
        <w:rPr>
          <w:rFonts w:ascii="Arial" w:hAnsi="Arial"/>
          <w:i w:val="0"/>
          <w:color w:val="161616"/>
          <w:sz w:val="22"/>
        </w:rPr>
        <w:t>Payables combines vendor master setup, purchase bill entry, vendor advances, approvals/posting and the open-item working book. Receivables is a read-only customer collection working book derived from posted items.</w:t>
      </w:r>
    </w:p>
    <w:p>
      <w:pPr>
        <w:pStyle w:val="ListBullet"/>
        <w:ind w:left="540" w:hanging="271"/>
      </w:pPr>
      <w:r>
        <w:rPr>
          <w:rFonts w:ascii="Arial" w:hAnsi="Arial"/>
          <w:color w:val="161616"/>
          <w:sz w:val="22"/>
        </w:rPr>
        <w:t>Vendor setup: vendor code, legal name, GSTIN/PAN and payable account.</w:t>
      </w:r>
    </w:p>
    <w:p>
      <w:pPr>
        <w:pStyle w:val="ListBullet"/>
        <w:ind w:left="540" w:hanging="271"/>
      </w:pPr>
      <w:r>
        <w:rPr>
          <w:rFonts w:ascii="Arial" w:hAnsi="Arial"/>
          <w:color w:val="161616"/>
          <w:sz w:val="22"/>
        </w:rPr>
        <w:t>Purchase bill: vendor, division, dates, expense/input-tax/payable/TDS accounts and tax breakup.</w:t>
      </w:r>
    </w:p>
    <w:p>
      <w:pPr>
        <w:pStyle w:val="ListBullet"/>
        <w:ind w:left="540" w:hanging="271"/>
      </w:pPr>
      <w:r>
        <w:rPr>
          <w:rFonts w:ascii="Arial" w:hAnsi="Arial"/>
          <w:color w:val="161616"/>
          <w:sz w:val="22"/>
        </w:rPr>
        <w:t>Advance: vendor, date, amount and traceable reference.</w:t>
      </w:r>
    </w:p>
    <w:p>
      <w:pPr>
        <w:pStyle w:val="ListBullet"/>
        <w:ind w:left="540" w:hanging="271"/>
      </w:pPr>
      <w:r>
        <w:rPr>
          <w:rFonts w:ascii="Arial" w:hAnsi="Arial"/>
          <w:color w:val="161616"/>
          <w:sz w:val="22"/>
        </w:rPr>
        <w:t>Working books: original amount, open amount, due date, status and aging buckets.</w:t>
      </w:r>
    </w:p>
    <w:p>
      <w:pPr>
        <w:pStyle w:val="Heading2"/>
      </w:pPr>
      <w:r>
        <w:t>Purchase bill entry — field guidance</w:t>
      </w:r>
    </w:p>
    <w:tbl>
      <w:tblPr>
        <w:tblStyle w:val="TableGrid"/>
        <w:tblW w:type="dxa" w:w="9378"/>
        <w:jc w:val="left"/>
        <w:tblLayout w:type="fixed"/>
        <w:tblLook w:firstColumn="1" w:firstRow="1" w:lastColumn="0" w:lastRow="0" w:noHBand="0" w:noVBand="1" w:val="04A0"/>
        <w:tblInd w:w="120" w:type="dxa"/>
      </w:tblPr>
      <w:tblGrid>
        <w:gridCol w:w="2400"/>
        <w:gridCol w:w="6978"/>
      </w:tblGrid>
      <w:tr>
        <w:trPr>
          <w:tblHeader w:val="true"/>
        </w:trPr>
        <w:tc>
          <w:tcPr>
            <w:tcW w:type="dxa" w:w="2400"/>
            <w:tcMar>
              <w:top w:w="100" w:type="dxa"/>
              <w:start w:w="120" w:type="dxa"/>
              <w:bottom w:w="100" w:type="dxa"/>
              <w:end w:w="120" w:type="dxa"/>
            </w:tcMar>
            <w:vAlign w:val="center"/>
            <w:shd w:fill="161616"/>
          </w:tcPr>
          <w:p>
            <w:pPr>
              <w:jc w:val="center"/>
            </w:pPr>
            <w:r>
              <w:rPr>
                <w:rFonts w:ascii="Arial" w:hAnsi="Arial"/>
                <w:b/>
                <w:color w:val="FFFFFF"/>
                <w:sz w:val="17"/>
              </w:rPr>
              <w:t>Field</w:t>
            </w:r>
          </w:p>
        </w:tc>
        <w:tc>
          <w:tcPr>
            <w:tcW w:type="dxa" w:w="6978"/>
            <w:tcMar>
              <w:top w:w="100" w:type="dxa"/>
              <w:start w:w="120" w:type="dxa"/>
              <w:bottom w:w="100" w:type="dxa"/>
              <w:end w:w="120" w:type="dxa"/>
            </w:tcMar>
            <w:vAlign w:val="center"/>
            <w:shd w:fill="161616"/>
          </w:tcPr>
          <w:p>
            <w:pPr>
              <w:jc w:val="center"/>
            </w:pPr>
            <w:r>
              <w:rPr>
                <w:rFonts w:ascii="Arial" w:hAnsi="Arial"/>
                <w:b/>
                <w:color w:val="FFFFFF"/>
                <w:sz w:val="17"/>
              </w:rPr>
              <w:t>How to complete it</w:t>
            </w:r>
          </w:p>
        </w:tc>
      </w:tr>
      <w:tr>
        <w:tc>
          <w:tcPr>
            <w:tcW w:type="dxa" w:w="2400"/>
          </w:tcPr>
          <w:p>
            <w:pPr>
              <w:jc w:val="center"/>
            </w:pPr>
            <w:r>
              <w:rPr>
                <w:rFonts w:ascii="Arial" w:hAnsi="Arial"/>
                <w:color w:val="161616"/>
                <w:sz w:val="17"/>
              </w:rPr>
              <w:t>Vendor / Bill No</w:t>
            </w:r>
          </w:p>
        </w:tc>
        <w:tc>
          <w:tcPr>
            <w:tcW w:type="dxa" w:w="6978"/>
          </w:tcPr>
          <w:p>
            <w:pPr>
              <w:jc w:val="left"/>
            </w:pPr>
            <w:r>
              <w:rPr>
                <w:rFonts w:ascii="Arial" w:hAnsi="Arial"/>
                <w:color w:val="161616"/>
                <w:sz w:val="17"/>
              </w:rPr>
              <w:t>Select the correct vendor and enter the invoice number exactly as shown on the supplier document.</w:t>
            </w:r>
          </w:p>
        </w:tc>
      </w:tr>
      <w:tr>
        <w:tc>
          <w:tcPr>
            <w:tcW w:type="dxa" w:w="2400"/>
            <w:shd w:fill="FAFAFA"/>
          </w:tcPr>
          <w:p>
            <w:pPr>
              <w:jc w:val="center"/>
            </w:pPr>
            <w:r>
              <w:rPr>
                <w:rFonts w:ascii="Arial" w:hAnsi="Arial"/>
                <w:color w:val="161616"/>
                <w:sz w:val="17"/>
              </w:rPr>
              <w:t>Bill Date / Due Date</w:t>
            </w:r>
          </w:p>
        </w:tc>
        <w:tc>
          <w:tcPr>
            <w:tcW w:type="dxa" w:w="6978"/>
            <w:shd w:fill="FAFAFA"/>
          </w:tcPr>
          <w:p>
            <w:pPr>
              <w:jc w:val="left"/>
            </w:pPr>
            <w:r>
              <w:rPr>
                <w:rFonts w:ascii="Arial" w:hAnsi="Arial"/>
                <w:color w:val="161616"/>
                <w:sz w:val="17"/>
              </w:rPr>
              <w:t>Use the supplier invoice date and contractual due date.</w:t>
            </w:r>
          </w:p>
        </w:tc>
      </w:tr>
      <w:tr>
        <w:tc>
          <w:tcPr>
            <w:tcW w:type="dxa" w:w="2400"/>
          </w:tcPr>
          <w:p>
            <w:pPr>
              <w:jc w:val="center"/>
            </w:pPr>
            <w:r>
              <w:rPr>
                <w:rFonts w:ascii="Arial" w:hAnsi="Arial"/>
                <w:color w:val="161616"/>
                <w:sz w:val="17"/>
              </w:rPr>
              <w:t>Expense Account</w:t>
            </w:r>
          </w:p>
        </w:tc>
        <w:tc>
          <w:tcPr>
            <w:tcW w:type="dxa" w:w="6978"/>
          </w:tcPr>
          <w:p>
            <w:pPr>
              <w:jc w:val="left"/>
            </w:pPr>
            <w:r>
              <w:rPr>
                <w:rFonts w:ascii="Arial" w:hAnsi="Arial"/>
                <w:color w:val="161616"/>
                <w:sz w:val="17"/>
              </w:rPr>
              <w:t>Choose the account that represents the nature of the goods or service.</w:t>
            </w:r>
          </w:p>
        </w:tc>
      </w:tr>
      <w:tr>
        <w:tc>
          <w:tcPr>
            <w:tcW w:type="dxa" w:w="2400"/>
            <w:shd w:fill="FAFAFA"/>
          </w:tcPr>
          <w:p>
            <w:pPr>
              <w:jc w:val="center"/>
            </w:pPr>
            <w:r>
              <w:rPr>
                <w:rFonts w:ascii="Arial" w:hAnsi="Arial"/>
                <w:color w:val="161616"/>
                <w:sz w:val="17"/>
              </w:rPr>
              <w:t>Input Tax Account</w:t>
            </w:r>
          </w:p>
        </w:tc>
        <w:tc>
          <w:tcPr>
            <w:tcW w:type="dxa" w:w="6978"/>
            <w:shd w:fill="FAFAFA"/>
          </w:tcPr>
          <w:p>
            <w:pPr>
              <w:jc w:val="left"/>
            </w:pPr>
            <w:r>
              <w:rPr>
                <w:rFonts w:ascii="Arial" w:hAnsi="Arial"/>
                <w:color w:val="161616"/>
                <w:sz w:val="17"/>
              </w:rPr>
              <w:t>Use only when GST input credit is eligible and supported.</w:t>
            </w:r>
          </w:p>
        </w:tc>
      </w:tr>
      <w:tr>
        <w:tc>
          <w:tcPr>
            <w:tcW w:type="dxa" w:w="2400"/>
          </w:tcPr>
          <w:p>
            <w:pPr>
              <w:jc w:val="center"/>
            </w:pPr>
            <w:r>
              <w:rPr>
                <w:rFonts w:ascii="Arial" w:hAnsi="Arial"/>
                <w:color w:val="161616"/>
                <w:sz w:val="17"/>
              </w:rPr>
              <w:t>Payable Account</w:t>
            </w:r>
          </w:p>
        </w:tc>
        <w:tc>
          <w:tcPr>
            <w:tcW w:type="dxa" w:w="6978"/>
          </w:tcPr>
          <w:p>
            <w:pPr>
              <w:jc w:val="left"/>
            </w:pPr>
            <w:r>
              <w:rPr>
                <w:rFonts w:ascii="Arial" w:hAnsi="Arial"/>
                <w:color w:val="161616"/>
                <w:sz w:val="17"/>
              </w:rPr>
              <w:t>Select the vendor liability/control account configured for AP.</w:t>
            </w:r>
          </w:p>
        </w:tc>
      </w:tr>
      <w:tr>
        <w:tc>
          <w:tcPr>
            <w:tcW w:type="dxa" w:w="2400"/>
            <w:shd w:fill="FAFAFA"/>
          </w:tcPr>
          <w:p>
            <w:pPr>
              <w:jc w:val="center"/>
            </w:pPr>
            <w:r>
              <w:rPr>
                <w:rFonts w:ascii="Arial" w:hAnsi="Arial"/>
                <w:color w:val="161616"/>
                <w:sz w:val="17"/>
              </w:rPr>
              <w:t>TDS Payable Account</w:t>
            </w:r>
          </w:p>
        </w:tc>
        <w:tc>
          <w:tcPr>
            <w:tcW w:type="dxa" w:w="6978"/>
            <w:shd w:fill="FAFAFA"/>
          </w:tcPr>
          <w:p>
            <w:pPr>
              <w:jc w:val="left"/>
            </w:pPr>
            <w:r>
              <w:rPr>
                <w:rFonts w:ascii="Arial" w:hAnsi="Arial"/>
                <w:color w:val="161616"/>
                <w:sz w:val="17"/>
              </w:rPr>
              <w:t>Use when tax is deducted and payable to the government.</w:t>
            </w:r>
          </w:p>
        </w:tc>
      </w:tr>
      <w:tr>
        <w:tc>
          <w:tcPr>
            <w:tcW w:type="dxa" w:w="2400"/>
          </w:tcPr>
          <w:p>
            <w:pPr>
              <w:jc w:val="center"/>
            </w:pPr>
            <w:r>
              <w:rPr>
                <w:rFonts w:ascii="Arial" w:hAnsi="Arial"/>
                <w:color w:val="161616"/>
                <w:sz w:val="17"/>
              </w:rPr>
              <w:t>Taxable / CGST / SGST / IGST</w:t>
            </w:r>
          </w:p>
        </w:tc>
        <w:tc>
          <w:tcPr>
            <w:tcW w:type="dxa" w:w="6978"/>
          </w:tcPr>
          <w:p>
            <w:pPr>
              <w:jc w:val="left"/>
            </w:pPr>
            <w:r>
              <w:rPr>
                <w:rFonts w:ascii="Arial" w:hAnsi="Arial"/>
                <w:color w:val="161616"/>
                <w:sz w:val="17"/>
              </w:rPr>
              <w:t>Copy from the valid tax invoice and verify intra-state versus inter-state treatment.</w:t>
            </w:r>
          </w:p>
        </w:tc>
      </w:tr>
      <w:tr>
        <w:tc>
          <w:tcPr>
            <w:tcW w:type="dxa" w:w="2400"/>
            <w:shd w:fill="FAFAFA"/>
          </w:tcPr>
          <w:p>
            <w:pPr>
              <w:jc w:val="center"/>
            </w:pPr>
            <w:r>
              <w:rPr>
                <w:rFonts w:ascii="Arial" w:hAnsi="Arial"/>
                <w:color w:val="161616"/>
                <w:sz w:val="17"/>
              </w:rPr>
              <w:t>TDS / Total</w:t>
            </w:r>
          </w:p>
        </w:tc>
        <w:tc>
          <w:tcPr>
            <w:tcW w:type="dxa" w:w="6978"/>
            <w:shd w:fill="FAFAFA"/>
          </w:tcPr>
          <w:p>
            <w:pPr>
              <w:jc w:val="left"/>
            </w:pPr>
            <w:r>
              <w:rPr>
                <w:rFonts w:ascii="Arial" w:hAnsi="Arial"/>
                <w:color w:val="161616"/>
                <w:sz w:val="17"/>
              </w:rPr>
              <w:t>Check the deduction and invoice total; ensure the settlement amount agrees with the bill terms.</w:t>
            </w:r>
          </w:p>
        </w:tc>
      </w:tr>
    </w:tbl>
    <w:p>
      <w:pPr>
        <w:spacing w:after="0"/>
      </w:pPr>
    </w:p>
    <w:p>
      <w:pPr>
        <w:pStyle w:val="Heading2"/>
      </w:pPr>
      <w:r>
        <w:t>Aging interpretation</w:t>
      </w:r>
    </w:p>
    <w:p>
      <w:pPr>
        <w:spacing w:after="120"/>
      </w:pPr>
      <w:r>
        <w:rPr>
          <w:rFonts w:ascii="Arial" w:hAnsi="Arial"/>
          <w:i w:val="0"/>
          <w:color w:val="161616"/>
          <w:sz w:val="22"/>
        </w:rPr>
        <w:t>Aging buckets group open balances by how long they are past the due/reference date: 0–30, 31–60, 61–90 and 90+ days. Use aging to prioritise collections, payment scheduling and exception follow-up.</w:t>
      </w:r>
    </w:p>
    <w:tbl>
      <w:tblPr>
        <w:tblW w:type="dxa" w:w="9878"/>
        <w:jc w:val="left"/>
        <w:tblLayout w:type="fixed"/>
        <w:tblLook w:firstColumn="1" w:firstRow="1" w:lastColumn="0" w:lastRow="0" w:noHBand="0" w:noVBand="1" w:val="04A0"/>
        <w:tblInd w:w="0" w:type="dxa"/>
      </w:tblPr>
      <w:tblGrid>
        <w:gridCol w:w="9878"/>
      </w:tblGrid>
      <w:tr>
        <w:tc>
          <w:tcPr>
            <w:tcW w:type="dxa" w:w="9878"/>
            <w:tcMar>
              <w:top w:w="100" w:type="dxa"/>
              <w:start w:w="120" w:type="dxa"/>
              <w:bottom w:w="100" w:type="dxa"/>
              <w:end w:w="120" w:type="dxa"/>
            </w:tcMar>
            <w:vAlign w:val="center"/>
            <w:shd w:fill="F7F1E2"/>
          </w:tcPr>
          <w:p>
            <w:pPr>
              <w:spacing w:after="60"/>
            </w:pPr>
            <w:r>
              <w:rPr>
                <w:rFonts w:ascii="Arial" w:hAnsi="Arial"/>
                <w:b/>
                <w:color w:val="7B5B19"/>
                <w:sz w:val="21"/>
              </w:rPr>
              <w:t>Reconciliation rule</w:t>
            </w:r>
          </w:p>
          <w:p>
            <w:pPr>
              <w:spacing w:after="0"/>
            </w:pPr>
            <w:r>
              <w:rPr>
                <w:rFonts w:ascii="Arial" w:hAnsi="Arial"/>
                <w:color w:val="161616"/>
                <w:sz w:val="19"/>
              </w:rPr>
              <w:t>The working book must reconcile to the relevant control-account balance in the general ledger. Investigate timing, unposted documents, partial settlements, credit notes, advances and incorrect counterparty dimensions.</w:t>
            </w:r>
          </w:p>
        </w:tc>
      </w:tr>
    </w:tbl>
    <w:p>
      <w:pPr>
        <w:spacing w:after="0"/>
      </w:pPr>
    </w:p>
    <w:p>
      <w:pPr>
        <w:pStyle w:val="Heading1"/>
      </w:pPr>
      <w:r>
        <w:t>9. Treasury and bank reconciliation</w:t>
      </w:r>
    </w:p>
    <w:p>
      <w:pPr>
        <w:spacing w:before="60"/>
        <w:jc w:val="center"/>
      </w:pPr>
      <w:r>
        <w:drawing>
          <wp:inline xmlns:a="http://schemas.openxmlformats.org/drawingml/2006/main" xmlns:pic="http://schemas.openxmlformats.org/drawingml/2006/picture">
            <wp:extent cx="4434840" cy="5934417"/>
            <wp:docPr id="8" name="Picture 8"/>
            <wp:cNvGraphicFramePr>
              <a:graphicFrameLocks noChangeAspect="1"/>
            </wp:cNvGraphicFramePr>
            <a:graphic>
              <a:graphicData uri="http://schemas.openxmlformats.org/drawingml/2006/picture">
                <pic:pic>
                  <pic:nvPicPr>
                    <pic:cNvPr id="0" name="cropped-06-treasury.png"/>
                    <pic:cNvPicPr/>
                  </pic:nvPicPr>
                  <pic:blipFill>
                    <a:blip r:embed="rId18"/>
                    <a:stretch>
                      <a:fillRect/>
                    </a:stretch>
                  </pic:blipFill>
                  <pic:spPr>
                    <a:xfrm>
                      <a:off x="0" y="0"/>
                      <a:ext cx="4434840" cy="5934417"/>
                    </a:xfrm>
                    <a:prstGeom prst="rect"/>
                  </pic:spPr>
                </pic:pic>
              </a:graphicData>
            </a:graphic>
          </wp:inline>
        </w:drawing>
      </w:r>
    </w:p>
    <w:p>
      <w:pPr>
        <w:spacing w:after="100"/>
        <w:jc w:val="center"/>
      </w:pPr>
      <w:r>
        <w:rPr>
          <w:rFonts w:ascii="Arial" w:hAnsi="Arial"/>
          <w:b/>
          <w:i/>
          <w:color w:val="666666"/>
          <w:sz w:val="17"/>
        </w:rPr>
        <w:t>Figure 7 — Treasury workspace</w:t>
      </w:r>
    </w:p>
    <w:p>
      <w:pPr>
        <w:spacing w:after="80"/>
      </w:pPr>
      <w:r>
        <w:rPr>
          <w:rFonts w:ascii="Arial" w:hAnsi="Arial"/>
          <w:i w:val="0"/>
          <w:color w:val="161616"/>
          <w:sz w:val="22"/>
        </w:rPr>
        <w:t>Treasury manages cash/bank accounts, statement imports and reconciliation. The aim is to explain every bank line with a ledger movement or a documented exception.</w:t>
      </w:r>
    </w:p>
    <w:p>
      <w:pPr>
        <w:pStyle w:val="ListBullet"/>
        <w:ind w:left="540" w:hanging="271"/>
      </w:pPr>
      <w:r>
        <w:rPr>
          <w:rFonts w:ascii="Arial" w:hAnsi="Arial"/>
          <w:color w:val="161616"/>
          <w:sz w:val="22"/>
        </w:rPr>
        <w:t>Use filters to focus on a treasury account, date range or reconciliation status.</w:t>
      </w:r>
    </w:p>
    <w:p>
      <w:pPr>
        <w:pStyle w:val="ListBullet"/>
        <w:ind w:left="540" w:hanging="271"/>
      </w:pPr>
      <w:r>
        <w:rPr>
          <w:rFonts w:ascii="Arial" w:hAnsi="Arial"/>
          <w:color w:val="161616"/>
          <w:sz w:val="22"/>
        </w:rPr>
        <w:t>Review book balance, statement balance and difference before signing off.</w:t>
      </w:r>
    </w:p>
    <w:p>
      <w:pPr>
        <w:pStyle w:val="ListBullet"/>
        <w:ind w:left="540" w:hanging="271"/>
      </w:pPr>
      <w:r>
        <w:rPr>
          <w:rFonts w:ascii="Arial" w:hAnsi="Arial"/>
          <w:color w:val="161616"/>
          <w:sz w:val="22"/>
        </w:rPr>
        <w:t>Match bank statement lines to ledger movements; do not force a match when amount/date/reference do not support it.</w:t>
      </w:r>
    </w:p>
    <w:p>
      <w:pPr>
        <w:pStyle w:val="ListBullet"/>
        <w:ind w:left="540" w:hanging="271"/>
      </w:pPr>
      <w:r>
        <w:rPr>
          <w:rFonts w:ascii="Arial" w:hAnsi="Arial"/>
          <w:color w:val="161616"/>
          <w:sz w:val="22"/>
        </w:rPr>
        <w:t>Generate or retain the reconciliation certificate and reviewer evidence when the period is complete.</w:t>
      </w:r>
    </w:p>
    <w:p>
      <w:pPr>
        <w:pStyle w:val="Heading2"/>
      </w:pPr>
      <w:r>
        <w:t>Bank reconciliation procedure</w:t>
      </w:r>
    </w:p>
    <w:p>
      <w:pPr>
        <w:pStyle w:val="ListNumber"/>
        <w:ind w:left="540" w:hanging="271"/>
      </w:pPr>
      <w:r>
        <w:rPr>
          <w:rFonts w:ascii="Arial" w:hAnsi="Arial"/>
          <w:color w:val="161616"/>
          <w:sz w:val="22"/>
        </w:rPr>
        <w:t>Confirm the treasury account is the correct bank/cash account and its opening/book balance is reasonable.</w:t>
      </w:r>
    </w:p>
    <w:p>
      <w:pPr>
        <w:pStyle w:val="ListNumber"/>
        <w:ind w:left="540" w:hanging="271"/>
      </w:pPr>
      <w:r>
        <w:rPr>
          <w:rFonts w:ascii="Arial" w:hAnsi="Arial"/>
          <w:color w:val="161616"/>
          <w:sz w:val="22"/>
        </w:rPr>
        <w:t>Import or review the bank statement for the exact period without duplicate lines.</w:t>
      </w:r>
    </w:p>
    <w:p>
      <w:pPr>
        <w:pStyle w:val="ListNumber"/>
        <w:ind w:left="540" w:hanging="271"/>
      </w:pPr>
      <w:r>
        <w:rPr>
          <w:rFonts w:ascii="Arial" w:hAnsi="Arial"/>
          <w:color w:val="161616"/>
          <w:sz w:val="22"/>
        </w:rPr>
        <w:t>Match receipts, payments, bank charges, interest and transfers using amount, date, reference and counterparty.</w:t>
      </w:r>
    </w:p>
    <w:p>
      <w:pPr>
        <w:pStyle w:val="ListNumber"/>
        <w:ind w:left="540" w:hanging="271"/>
      </w:pPr>
      <w:r>
        <w:rPr>
          <w:rFonts w:ascii="Arial" w:hAnsi="Arial"/>
          <w:color w:val="161616"/>
          <w:sz w:val="22"/>
        </w:rPr>
        <w:t>Record legitimate book adjustments through the correct controlled entry; never alter a bank statement line to make it fit.</w:t>
      </w:r>
    </w:p>
    <w:p>
      <w:pPr>
        <w:pStyle w:val="ListNumber"/>
        <w:ind w:left="540" w:hanging="271"/>
      </w:pPr>
      <w:r>
        <w:rPr>
          <w:rFonts w:ascii="Arial" w:hAnsi="Arial"/>
          <w:color w:val="161616"/>
          <w:sz w:val="22"/>
        </w:rPr>
        <w:t>Classify unmatched items and assign follow-up ownership.</w:t>
      </w:r>
    </w:p>
    <w:p>
      <w:pPr>
        <w:pStyle w:val="ListNumber"/>
        <w:ind w:left="540" w:hanging="271"/>
      </w:pPr>
      <w:r>
        <w:rPr>
          <w:rFonts w:ascii="Arial" w:hAnsi="Arial"/>
          <w:color w:val="161616"/>
          <w:sz w:val="22"/>
        </w:rPr>
        <w:t>Verify the statement balance, book balance and reconciliation difference.</w:t>
      </w:r>
    </w:p>
    <w:p>
      <w:pPr>
        <w:pStyle w:val="ListNumber"/>
        <w:ind w:left="540" w:hanging="271"/>
      </w:pPr>
      <w:r>
        <w:rPr>
          <w:rFonts w:ascii="Arial" w:hAnsi="Arial"/>
          <w:color w:val="161616"/>
          <w:sz w:val="22"/>
        </w:rPr>
        <w:t>Complete review evidence and obtain the required approval/reconciliation sign-off.</w:t>
      </w:r>
    </w:p>
    <w:p>
      <w:pPr>
        <w:pStyle w:val="Heading1"/>
      </w:pPr>
      <w:r>
        <w:t>10. GST compliance and company tax settings</w:t>
      </w:r>
    </w:p>
    <w:p>
      <w:pPr>
        <w:spacing w:before="60"/>
        <w:jc w:val="center"/>
      </w:pPr>
      <w:r>
        <w:drawing>
          <wp:inline xmlns:a="http://schemas.openxmlformats.org/drawingml/2006/main" xmlns:pic="http://schemas.openxmlformats.org/drawingml/2006/picture">
            <wp:extent cx="4434840" cy="5934417"/>
            <wp:docPr id="9" name="Picture 9"/>
            <wp:cNvGraphicFramePr>
              <a:graphicFrameLocks noChangeAspect="1"/>
            </wp:cNvGraphicFramePr>
            <a:graphic>
              <a:graphicData uri="http://schemas.openxmlformats.org/drawingml/2006/picture">
                <pic:pic>
                  <pic:nvPicPr>
                    <pic:cNvPr id="0" name="cropped-07-gst-compliance.png"/>
                    <pic:cNvPicPr/>
                  </pic:nvPicPr>
                  <pic:blipFill>
                    <a:blip r:embed="rId19"/>
                    <a:stretch>
                      <a:fillRect/>
                    </a:stretch>
                  </pic:blipFill>
                  <pic:spPr>
                    <a:xfrm>
                      <a:off x="0" y="0"/>
                      <a:ext cx="4434840" cy="5934417"/>
                    </a:xfrm>
                    <a:prstGeom prst="rect"/>
                  </pic:spPr>
                </pic:pic>
              </a:graphicData>
            </a:graphic>
          </wp:inline>
        </w:drawing>
      </w:r>
    </w:p>
    <w:p>
      <w:pPr>
        <w:spacing w:after="100"/>
        <w:jc w:val="center"/>
      </w:pPr>
      <w:r>
        <w:rPr>
          <w:rFonts w:ascii="Arial" w:hAnsi="Arial"/>
          <w:b/>
          <w:i/>
          <w:color w:val="666666"/>
          <w:sz w:val="17"/>
        </w:rPr>
        <w:t>Figure 8 — GST Compliance</w:t>
      </w:r>
    </w:p>
    <w:p>
      <w:pPr>
        <w:spacing w:after="80"/>
      </w:pPr>
      <w:r>
        <w:rPr>
          <w:rFonts w:ascii="Arial" w:hAnsi="Arial"/>
          <w:i w:val="0"/>
          <w:color w:val="161616"/>
          <w:sz w:val="22"/>
        </w:rPr>
        <w:t>GST Compliance brings together registration periods, classified documents, exception handling, GSTR-2B matching and input-tax-credit review. The system does not guess missing tax classifications.</w:t>
      </w:r>
    </w:p>
    <w:p>
      <w:pPr>
        <w:pStyle w:val="ListBullet"/>
        <w:ind w:left="540" w:hanging="271"/>
      </w:pPr>
      <w:r>
        <w:rPr>
          <w:rFonts w:ascii="Arial" w:hAnsi="Arial"/>
          <w:color w:val="161616"/>
          <w:sz w:val="22"/>
        </w:rPr>
        <w:t>Select the correct GST registration and return period.</w:t>
      </w:r>
    </w:p>
    <w:p>
      <w:pPr>
        <w:pStyle w:val="ListBullet"/>
        <w:ind w:left="540" w:hanging="271"/>
      </w:pPr>
      <w:r>
        <w:rPr>
          <w:rFonts w:ascii="Arial" w:hAnsi="Arial"/>
          <w:color w:val="161616"/>
          <w:sz w:val="22"/>
        </w:rPr>
        <w:t>Review every classification or reconciliation exception.</w:t>
      </w:r>
    </w:p>
    <w:p>
      <w:pPr>
        <w:pStyle w:val="ListBullet"/>
        <w:ind w:left="540" w:hanging="271"/>
      </w:pPr>
      <w:r>
        <w:rPr>
          <w:rFonts w:ascii="Arial" w:hAnsi="Arial"/>
          <w:color w:val="161616"/>
          <w:sz w:val="22"/>
        </w:rPr>
        <w:t>Check taxable value and CGST/SGST/IGST/cess against the source invoice.</w:t>
      </w:r>
    </w:p>
    <w:p>
      <w:pPr>
        <w:pStyle w:val="ListBullet"/>
        <w:ind w:left="540" w:hanging="271"/>
      </w:pPr>
      <w:r>
        <w:rPr>
          <w:rFonts w:ascii="Arial" w:hAnsi="Arial"/>
          <w:color w:val="161616"/>
          <w:sz w:val="22"/>
        </w:rPr>
        <w:t>Review GSTR-2B match status and whether ITC is available or blocked.</w:t>
      </w:r>
    </w:p>
    <w:p>
      <w:pPr>
        <w:pStyle w:val="ListBullet"/>
        <w:ind w:left="540" w:hanging="271"/>
      </w:pPr>
      <w:r>
        <w:rPr>
          <w:rFonts w:ascii="Arial" w:hAnsi="Arial"/>
          <w:color w:val="161616"/>
          <w:sz w:val="22"/>
        </w:rPr>
        <w:t>Lock books only after reconciliation and review are complete.</w:t>
      </w:r>
    </w:p>
    <w:p>
      <w:pPr>
        <w:spacing w:before="60"/>
        <w:jc w:val="center"/>
      </w:pPr>
      <w:r>
        <w:drawing>
          <wp:inline xmlns:a="http://schemas.openxmlformats.org/drawingml/2006/main" xmlns:pic="http://schemas.openxmlformats.org/drawingml/2006/picture">
            <wp:extent cx="4434840" cy="5934417"/>
            <wp:docPr id="10" name="Picture 10"/>
            <wp:cNvGraphicFramePr>
              <a:graphicFrameLocks noChangeAspect="1"/>
            </wp:cNvGraphicFramePr>
            <a:graphic>
              <a:graphicData uri="http://schemas.openxmlformats.org/drawingml/2006/picture">
                <pic:pic>
                  <pic:nvPicPr>
                    <pic:cNvPr id="0" name="cropped-09-tax-settings.png"/>
                    <pic:cNvPicPr/>
                  </pic:nvPicPr>
                  <pic:blipFill>
                    <a:blip r:embed="rId20"/>
                    <a:stretch>
                      <a:fillRect/>
                    </a:stretch>
                  </pic:blipFill>
                  <pic:spPr>
                    <a:xfrm>
                      <a:off x="0" y="0"/>
                      <a:ext cx="4434840" cy="5934417"/>
                    </a:xfrm>
                    <a:prstGeom prst="rect"/>
                  </pic:spPr>
                </pic:pic>
              </a:graphicData>
            </a:graphic>
          </wp:inline>
        </w:drawing>
      </w:r>
    </w:p>
    <w:p>
      <w:pPr>
        <w:spacing w:after="100"/>
        <w:jc w:val="center"/>
      </w:pPr>
      <w:r>
        <w:rPr>
          <w:rFonts w:ascii="Arial" w:hAnsi="Arial"/>
          <w:b/>
          <w:i/>
          <w:color w:val="666666"/>
          <w:sz w:val="17"/>
        </w:rPr>
        <w:t>Figure 9 — Tax &amp; Company Settings</w:t>
      </w:r>
    </w:p>
    <w:p>
      <w:pPr>
        <w:spacing w:after="80"/>
      </w:pPr>
      <w:r>
        <w:rPr>
          <w:rFonts w:ascii="Arial" w:hAnsi="Arial"/>
          <w:i w:val="0"/>
          <w:color w:val="161616"/>
          <w:sz w:val="22"/>
        </w:rPr>
        <w:t>Tax &amp; Company Settings is the master-data foundation for statutory workflows. It stores company identity, PAN/TAN/CIN, registered address, financial-year basis, auditor details and state-wise GST registrations.</w:t>
      </w:r>
    </w:p>
    <w:p>
      <w:pPr>
        <w:pStyle w:val="ListBullet"/>
        <w:ind w:left="540" w:hanging="271"/>
      </w:pPr>
      <w:r>
        <w:rPr>
          <w:rFonts w:ascii="Arial" w:hAnsi="Arial"/>
          <w:color w:val="161616"/>
          <w:sz w:val="22"/>
        </w:rPr>
        <w:t>Enter legal identifiers exactly as issued by the relevant authority.</w:t>
      </w:r>
    </w:p>
    <w:p>
      <w:pPr>
        <w:pStyle w:val="ListBullet"/>
        <w:ind w:left="540" w:hanging="271"/>
      </w:pPr>
      <w:r>
        <w:rPr>
          <w:rFonts w:ascii="Arial" w:hAnsi="Arial"/>
          <w:color w:val="161616"/>
          <w:sz w:val="22"/>
        </w:rPr>
        <w:t>Maintain one row for each GST registration and mark only one appropriate active registration as primary.</w:t>
      </w:r>
    </w:p>
    <w:p>
      <w:pPr>
        <w:pStyle w:val="ListBullet"/>
        <w:ind w:left="540" w:hanging="271"/>
      </w:pPr>
      <w:r>
        <w:rPr>
          <w:rFonts w:ascii="Arial" w:hAnsi="Arial"/>
          <w:color w:val="161616"/>
          <w:sz w:val="22"/>
        </w:rPr>
        <w:t>The page validates PAN and GSTIN formats but format validation is not proof that a registration is legally valid.</w:t>
      </w:r>
    </w:p>
    <w:p>
      <w:pPr>
        <w:pStyle w:val="ListBullet"/>
        <w:ind w:left="540" w:hanging="271"/>
      </w:pPr>
      <w:r>
        <w:rPr>
          <w:rFonts w:ascii="Arial" w:hAnsi="Arial"/>
          <w:color w:val="161616"/>
          <w:sz w:val="22"/>
        </w:rPr>
        <w:t>Deactivation is controlled and audited; do not deactivate a registration with unresolved filing obligations.</w:t>
      </w:r>
    </w:p>
    <w:p>
      <w:pPr>
        <w:pStyle w:val="Heading2"/>
      </w:pPr>
      <w:r>
        <w:t>GST review order</w:t>
      </w:r>
    </w:p>
    <w:p>
      <w:pPr>
        <w:pStyle w:val="ListNumber"/>
        <w:ind w:left="540" w:hanging="271"/>
      </w:pPr>
      <w:r>
        <w:rPr>
          <w:rFonts w:ascii="Arial" w:hAnsi="Arial"/>
          <w:color w:val="161616"/>
          <w:sz w:val="22"/>
        </w:rPr>
        <w:t>Registration and filing period</w:t>
      </w:r>
    </w:p>
    <w:p>
      <w:pPr>
        <w:pStyle w:val="ListNumber"/>
        <w:ind w:left="540" w:hanging="271"/>
      </w:pPr>
      <w:r>
        <w:rPr>
          <w:rFonts w:ascii="Arial" w:hAnsi="Arial"/>
          <w:color w:val="161616"/>
          <w:sz w:val="22"/>
        </w:rPr>
        <w:t>Outward invoices and credit notes</w:t>
      </w:r>
    </w:p>
    <w:p>
      <w:pPr>
        <w:pStyle w:val="ListNumber"/>
        <w:ind w:left="540" w:hanging="271"/>
      </w:pPr>
      <w:r>
        <w:rPr>
          <w:rFonts w:ascii="Arial" w:hAnsi="Arial"/>
          <w:color w:val="161616"/>
          <w:sz w:val="22"/>
        </w:rPr>
        <w:t>Input documents and eligibility</w:t>
      </w:r>
    </w:p>
    <w:p>
      <w:pPr>
        <w:pStyle w:val="ListNumber"/>
        <w:ind w:left="540" w:hanging="271"/>
      </w:pPr>
      <w:r>
        <w:rPr>
          <w:rFonts w:ascii="Arial" w:hAnsi="Arial"/>
          <w:color w:val="161616"/>
          <w:sz w:val="22"/>
        </w:rPr>
        <w:t>CGST/SGST versus IGST classification</w:t>
      </w:r>
    </w:p>
    <w:p>
      <w:pPr>
        <w:pStyle w:val="ListNumber"/>
        <w:ind w:left="540" w:hanging="271"/>
      </w:pPr>
      <w:r>
        <w:rPr>
          <w:rFonts w:ascii="Arial" w:hAnsi="Arial"/>
          <w:color w:val="161616"/>
          <w:sz w:val="22"/>
        </w:rPr>
        <w:t>GSTR-2B match exceptions</w:t>
      </w:r>
    </w:p>
    <w:p>
      <w:pPr>
        <w:pStyle w:val="ListNumber"/>
        <w:ind w:left="540" w:hanging="271"/>
      </w:pPr>
      <w:r>
        <w:rPr>
          <w:rFonts w:ascii="Arial" w:hAnsi="Arial"/>
          <w:color w:val="161616"/>
          <w:sz w:val="22"/>
        </w:rPr>
        <w:t>Tax ledgers, payment/offset and filing acknowledgement</w:t>
      </w:r>
    </w:p>
    <w:tbl>
      <w:tblPr>
        <w:tblW w:type="dxa" w:w="9878"/>
        <w:jc w:val="left"/>
        <w:tblLayout w:type="fixed"/>
        <w:tblLook w:firstColumn="1" w:firstRow="1" w:lastColumn="0" w:lastRow="0" w:noHBand="0" w:noVBand="1" w:val="04A0"/>
        <w:tblInd w:w="0" w:type="dxa"/>
      </w:tblPr>
      <w:tblGrid>
        <w:gridCol w:w="9878"/>
      </w:tblGrid>
      <w:tr>
        <w:tc>
          <w:tcPr>
            <w:tcW w:type="dxa" w:w="9878"/>
            <w:tcMar>
              <w:top w:w="100" w:type="dxa"/>
              <w:start w:w="120" w:type="dxa"/>
              <w:bottom w:w="100" w:type="dxa"/>
              <w:end w:w="120" w:type="dxa"/>
            </w:tcMar>
            <w:vAlign w:val="center"/>
            <w:shd w:fill="FCECEC"/>
          </w:tcPr>
          <w:p>
            <w:pPr>
              <w:spacing w:after="60"/>
            </w:pPr>
            <w:r>
              <w:rPr>
                <w:rFonts w:ascii="Arial" w:hAnsi="Arial"/>
                <w:b/>
                <w:color w:val="9B1C1C"/>
                <w:sz w:val="21"/>
              </w:rPr>
              <w:t>Professional review</w:t>
            </w:r>
          </w:p>
          <w:p>
            <w:pPr>
              <w:spacing w:after="0"/>
            </w:pPr>
            <w:r>
              <w:rPr>
                <w:rFonts w:ascii="Arial" w:hAnsi="Arial"/>
                <w:color w:val="161616"/>
                <w:sz w:val="19"/>
              </w:rPr>
              <w:t>GST classification, ITC eligibility and return filing require review by the responsible Accounts Manager/CA. EMS supports preparation, reconciliation and evidence; it does not replace statutory judgement.</w:t>
            </w:r>
          </w:p>
        </w:tc>
      </w:tr>
    </w:tbl>
    <w:p>
      <w:pPr>
        <w:spacing w:after="0"/>
      </w:pPr>
    </w:p>
    <w:p>
      <w:pPr>
        <w:pStyle w:val="Heading1"/>
      </w:pPr>
      <w:r>
        <w:t>11. TDS and Annual Tax &amp; Audit</w:t>
      </w:r>
    </w:p>
    <w:p>
      <w:pPr>
        <w:pStyle w:val="Heading2"/>
      </w:pPr>
      <w:r>
        <w:t>TDS Compliance</w:t>
      </w:r>
    </w:p>
    <w:p>
      <w:pPr>
        <w:spacing w:after="120"/>
      </w:pPr>
      <w:r>
        <w:rPr>
          <w:rFonts w:ascii="Arial" w:hAnsi="Arial"/>
          <w:i w:val="0"/>
          <w:color w:val="161616"/>
          <w:sz w:val="22"/>
        </w:rPr>
        <w:t>Maintain deductees and TDS sections before recording deductions. For each deduction, link the deductee, applicable section, optional purchase bill, deduction date, taxable amount, rate, TDS amount, return period and challan reference.</w:t>
      </w:r>
    </w:p>
    <w:tbl>
      <w:tblPr>
        <w:tblStyle w:val="TableGrid"/>
        <w:tblW w:type="dxa" w:w="9378"/>
        <w:jc w:val="left"/>
        <w:tblLayout w:type="fixed"/>
        <w:tblLook w:firstColumn="1" w:firstRow="1" w:lastColumn="0" w:lastRow="0" w:noHBand="0" w:noVBand="1" w:val="04A0"/>
        <w:tblInd w:w="120" w:type="dxa"/>
      </w:tblPr>
      <w:tblGrid>
        <w:gridCol w:w="2450"/>
        <w:gridCol w:w="6928"/>
      </w:tblGrid>
      <w:tr>
        <w:trPr>
          <w:tblHeader w:val="true"/>
        </w:trPr>
        <w:tc>
          <w:tcPr>
            <w:tcW w:type="dxa" w:w="2450"/>
            <w:tcMar>
              <w:top w:w="100" w:type="dxa"/>
              <w:start w:w="120" w:type="dxa"/>
              <w:bottom w:w="100" w:type="dxa"/>
              <w:end w:w="120" w:type="dxa"/>
            </w:tcMar>
            <w:vAlign w:val="center"/>
            <w:shd w:fill="161616"/>
          </w:tcPr>
          <w:p>
            <w:pPr>
              <w:jc w:val="center"/>
            </w:pPr>
            <w:r>
              <w:rPr>
                <w:rFonts w:ascii="Arial" w:hAnsi="Arial"/>
                <w:b/>
                <w:color w:val="FFFFFF"/>
                <w:sz w:val="18"/>
              </w:rPr>
              <w:t>Control</w:t>
            </w:r>
          </w:p>
        </w:tc>
        <w:tc>
          <w:tcPr>
            <w:tcW w:type="dxa" w:w="6928"/>
            <w:tcMar>
              <w:top w:w="100" w:type="dxa"/>
              <w:start w:w="120" w:type="dxa"/>
              <w:bottom w:w="100" w:type="dxa"/>
              <w:end w:w="120" w:type="dxa"/>
            </w:tcMar>
            <w:vAlign w:val="center"/>
            <w:shd w:fill="161616"/>
          </w:tcPr>
          <w:p>
            <w:pPr>
              <w:jc w:val="center"/>
            </w:pPr>
            <w:r>
              <w:rPr>
                <w:rFonts w:ascii="Arial" w:hAnsi="Arial"/>
                <w:b/>
                <w:color w:val="FFFFFF"/>
                <w:sz w:val="18"/>
              </w:rPr>
              <w:t>What to verify</w:t>
            </w:r>
          </w:p>
        </w:tc>
      </w:tr>
      <w:tr>
        <w:tc>
          <w:tcPr>
            <w:tcW w:type="dxa" w:w="2450"/>
          </w:tcPr>
          <w:p>
            <w:pPr>
              <w:jc w:val="center"/>
            </w:pPr>
            <w:r>
              <w:rPr>
                <w:rFonts w:ascii="Arial" w:hAnsi="Arial"/>
                <w:color w:val="161616"/>
                <w:sz w:val="18"/>
              </w:rPr>
              <w:t>Deductee identity</w:t>
            </w:r>
          </w:p>
        </w:tc>
        <w:tc>
          <w:tcPr>
            <w:tcW w:type="dxa" w:w="6928"/>
          </w:tcPr>
          <w:p>
            <w:pPr>
              <w:jc w:val="left"/>
            </w:pPr>
            <w:r>
              <w:rPr>
                <w:rFonts w:ascii="Arial" w:hAnsi="Arial"/>
                <w:color w:val="161616"/>
                <w:sz w:val="18"/>
              </w:rPr>
              <w:t>Legal name, PAN, GSTIN where applicable and deductee type.</w:t>
            </w:r>
          </w:p>
        </w:tc>
      </w:tr>
      <w:tr>
        <w:tc>
          <w:tcPr>
            <w:tcW w:type="dxa" w:w="2450"/>
            <w:shd w:fill="FAFAFA"/>
          </w:tcPr>
          <w:p>
            <w:pPr>
              <w:jc w:val="center"/>
            </w:pPr>
            <w:r>
              <w:rPr>
                <w:rFonts w:ascii="Arial" w:hAnsi="Arial"/>
                <w:color w:val="161616"/>
                <w:sz w:val="18"/>
              </w:rPr>
              <w:t>Section and rate</w:t>
            </w:r>
          </w:p>
        </w:tc>
        <w:tc>
          <w:tcPr>
            <w:tcW w:type="dxa" w:w="6928"/>
            <w:shd w:fill="FAFAFA"/>
          </w:tcPr>
          <w:p>
            <w:pPr>
              <w:jc w:val="left"/>
            </w:pPr>
            <w:r>
              <w:rPr>
                <w:rFonts w:ascii="Arial" w:hAnsi="Arial"/>
                <w:color w:val="161616"/>
                <w:sz w:val="18"/>
              </w:rPr>
              <w:t>Correct statutory section, threshold, default/lower deduction rate and supporting certificate.</w:t>
            </w:r>
          </w:p>
        </w:tc>
      </w:tr>
      <w:tr>
        <w:tc>
          <w:tcPr>
            <w:tcW w:type="dxa" w:w="2450"/>
          </w:tcPr>
          <w:p>
            <w:pPr>
              <w:jc w:val="center"/>
            </w:pPr>
            <w:r>
              <w:rPr>
                <w:rFonts w:ascii="Arial" w:hAnsi="Arial"/>
                <w:color w:val="161616"/>
                <w:sz w:val="18"/>
              </w:rPr>
              <w:t>Deduction timing</w:t>
            </w:r>
          </w:p>
        </w:tc>
        <w:tc>
          <w:tcPr>
            <w:tcW w:type="dxa" w:w="6928"/>
          </w:tcPr>
          <w:p>
            <w:pPr>
              <w:jc w:val="left"/>
            </w:pPr>
            <w:r>
              <w:rPr>
                <w:rFonts w:ascii="Arial" w:hAnsi="Arial"/>
                <w:color w:val="161616"/>
                <w:sz w:val="18"/>
              </w:rPr>
              <w:t>Correct date of credit/payment and return quarter.</w:t>
            </w:r>
          </w:p>
        </w:tc>
      </w:tr>
      <w:tr>
        <w:tc>
          <w:tcPr>
            <w:tcW w:type="dxa" w:w="2450"/>
            <w:shd w:fill="FAFAFA"/>
          </w:tcPr>
          <w:p>
            <w:pPr>
              <w:jc w:val="center"/>
            </w:pPr>
            <w:r>
              <w:rPr>
                <w:rFonts w:ascii="Arial" w:hAnsi="Arial"/>
                <w:color w:val="161616"/>
                <w:sz w:val="18"/>
              </w:rPr>
              <w:t>Challan linkage</w:t>
            </w:r>
          </w:p>
        </w:tc>
        <w:tc>
          <w:tcPr>
            <w:tcW w:type="dxa" w:w="6928"/>
            <w:shd w:fill="FAFAFA"/>
          </w:tcPr>
          <w:p>
            <w:pPr>
              <w:jc w:val="left"/>
            </w:pPr>
            <w:r>
              <w:rPr>
                <w:rFonts w:ascii="Arial" w:hAnsi="Arial"/>
                <w:color w:val="161616"/>
                <w:sz w:val="18"/>
              </w:rPr>
              <w:t>Payment challan number and amount agree with deductions included.</w:t>
            </w:r>
          </w:p>
        </w:tc>
      </w:tr>
      <w:tr>
        <w:tc>
          <w:tcPr>
            <w:tcW w:type="dxa" w:w="2450"/>
          </w:tcPr>
          <w:p>
            <w:pPr>
              <w:jc w:val="center"/>
            </w:pPr>
            <w:r>
              <w:rPr>
                <w:rFonts w:ascii="Arial" w:hAnsi="Arial"/>
                <w:color w:val="161616"/>
                <w:sz w:val="18"/>
              </w:rPr>
              <w:t>Return / certificate</w:t>
            </w:r>
          </w:p>
        </w:tc>
        <w:tc>
          <w:tcPr>
            <w:tcW w:type="dxa" w:w="6928"/>
          </w:tcPr>
          <w:p>
            <w:pPr>
              <w:jc w:val="left"/>
            </w:pPr>
            <w:r>
              <w:rPr>
                <w:rFonts w:ascii="Arial" w:hAnsi="Arial"/>
                <w:color w:val="161616"/>
                <w:sz w:val="18"/>
              </w:rPr>
              <w:t>Quarterly return status, validation errors and certificates are tracked.</w:t>
            </w:r>
          </w:p>
        </w:tc>
      </w:tr>
    </w:tbl>
    <w:p>
      <w:pPr>
        <w:spacing w:after="0"/>
      </w:pPr>
    </w:p>
    <w:p>
      <w:pPr>
        <w:pStyle w:val="Heading2"/>
      </w:pPr>
      <w:r>
        <w:t>Annual Tax &amp; Audit</w:t>
      </w:r>
    </w:p>
    <w:p>
      <w:pPr>
        <w:spacing w:after="120"/>
      </w:pPr>
      <w:r>
        <w:rPr>
          <w:rFonts w:ascii="Arial" w:hAnsi="Arial"/>
          <w:i w:val="0"/>
          <w:color w:val="161616"/>
          <w:sz w:val="22"/>
        </w:rPr>
        <w:t>Use the statutory filing calendar for GSTR-1, GSTR-3B, GSTR-9/9C, ITR, tax audit 3CD, TDS returns, advance tax and other obligations. Use Annual Audit Workpapers to record the financial year, section, title, amount, status and evidence reference.</w:t>
      </w:r>
    </w:p>
    <w:tbl>
      <w:tblPr>
        <w:tblW w:type="dxa" w:w="9878"/>
        <w:jc w:val="left"/>
        <w:tblLayout w:type="fixed"/>
        <w:tblLook w:firstColumn="1" w:firstRow="1" w:lastColumn="0" w:lastRow="0" w:noHBand="0" w:noVBand="1" w:val="04A0"/>
        <w:tblInd w:w="0" w:type="dxa"/>
      </w:tblPr>
      <w:tblGrid>
        <w:gridCol w:w="9878"/>
      </w:tblGrid>
      <w:tr>
        <w:tc>
          <w:tcPr>
            <w:tcW w:type="dxa" w:w="9878"/>
            <w:tcMar>
              <w:top w:w="100" w:type="dxa"/>
              <w:start w:w="120" w:type="dxa"/>
              <w:bottom w:w="100" w:type="dxa"/>
              <w:end w:w="120" w:type="dxa"/>
            </w:tcMar>
            <w:vAlign w:val="center"/>
            <w:shd w:fill="E7F5ED"/>
          </w:tcPr>
          <w:p>
            <w:pPr>
              <w:spacing w:after="60"/>
            </w:pPr>
            <w:r>
              <w:rPr>
                <w:rFonts w:ascii="Arial" w:hAnsi="Arial"/>
                <w:b/>
                <w:color w:val="1F7A4D"/>
                <w:sz w:val="21"/>
              </w:rPr>
              <w:t>Evidence discipline</w:t>
            </w:r>
          </w:p>
          <w:p>
            <w:pPr>
              <w:spacing w:after="0"/>
            </w:pPr>
            <w:r>
              <w:rPr>
                <w:rFonts w:ascii="Arial" w:hAnsi="Arial"/>
                <w:color w:val="161616"/>
                <w:sz w:val="19"/>
              </w:rPr>
              <w:t>Every filing marked complete should carry its acknowledgement/ARN and evidence link. Every significant annual-tax adjustment should be supported by a workpaper that another reviewer can reproduce.</w:t>
            </w:r>
          </w:p>
        </w:tc>
      </w:tr>
    </w:tbl>
    <w:p>
      <w:pPr>
        <w:spacing w:after="0"/>
      </w:pPr>
    </w:p>
    <w:p>
      <w:pPr>
        <w:pStyle w:val="Heading1"/>
      </w:pPr>
      <w:r>
        <w:t>12. Fixed Assets, budgets and profitability</w:t>
      </w:r>
    </w:p>
    <w:p>
      <w:pPr>
        <w:pStyle w:val="Heading2"/>
      </w:pPr>
      <w:r>
        <w:t>Fixed Assets</w:t>
      </w:r>
    </w:p>
    <w:p>
      <w:pPr>
        <w:spacing w:after="120"/>
      </w:pPr>
      <w:r>
        <w:rPr>
          <w:rFonts w:ascii="Arial" w:hAnsi="Arial"/>
          <w:i w:val="0"/>
          <w:color w:val="161616"/>
          <w:sz w:val="22"/>
        </w:rPr>
        <w:t>The asset register captures asset code/name/class, owning division, acquisition and put-to-use dates, vendor/purchase bill, cost, salvage value, useful life and depreciation method. Movements record capitalization, transfer, impairment, revaluation, disposal or scrapping.</w:t>
      </w:r>
    </w:p>
    <w:p>
      <w:pPr>
        <w:spacing w:after="120"/>
      </w:pPr>
      <w:r>
        <w:rPr>
          <w:rFonts w:ascii="Arial" w:hAnsi="Arial"/>
          <w:i w:val="0"/>
          <w:color w:val="161616"/>
          <w:sz w:val="22"/>
        </w:rPr>
        <w:t>Depreciation runs progress from draft/prepared to approved and posted. Before posting, select the correct depreciation expense and accumulated depreciation accounts and confirm the run total agrees with the asset schedule.</w:t>
      </w:r>
    </w:p>
    <w:p>
      <w:pPr>
        <w:pStyle w:val="Heading2"/>
      </w:pPr>
      <w:r>
        <w:t>Budgets &amp; Profitability</w:t>
      </w:r>
    </w:p>
    <w:p>
      <w:pPr>
        <w:spacing w:after="120"/>
      </w:pPr>
      <w:r>
        <w:rPr>
          <w:rFonts w:ascii="Arial" w:hAnsi="Arial"/>
          <w:i w:val="0"/>
          <w:color w:val="161616"/>
          <w:sz w:val="22"/>
        </w:rPr>
        <w:t>Create a budget by financial year, division, scenario and status. Add lines by ledger account and period. Capture profitability snapshots to preserve a dated view of revenue, direct cost, indirect cost, gross margin and net margin.</w:t>
      </w:r>
    </w:p>
    <w:tbl>
      <w:tblPr>
        <w:tblStyle w:val="TableGrid"/>
        <w:tblW w:type="dxa" w:w="9378"/>
        <w:jc w:val="left"/>
        <w:tblLayout w:type="fixed"/>
        <w:tblLook w:firstColumn="1" w:firstRow="1" w:lastColumn="0" w:lastRow="0" w:noHBand="0" w:noVBand="1" w:val="04A0"/>
        <w:tblInd w:w="120" w:type="dxa"/>
      </w:tblPr>
      <w:tblGrid>
        <w:gridCol w:w="2200"/>
        <w:gridCol w:w="7178"/>
      </w:tblGrid>
      <w:tr>
        <w:trPr>
          <w:tblHeader w:val="true"/>
        </w:trPr>
        <w:tc>
          <w:tcPr>
            <w:tcW w:type="dxa" w:w="2200"/>
            <w:tcMar>
              <w:top w:w="100" w:type="dxa"/>
              <w:start w:w="120" w:type="dxa"/>
              <w:bottom w:w="100" w:type="dxa"/>
              <w:end w:w="120" w:type="dxa"/>
            </w:tcMar>
            <w:vAlign w:val="center"/>
            <w:shd w:fill="161616"/>
          </w:tcPr>
          <w:p>
            <w:pPr>
              <w:jc w:val="center"/>
            </w:pPr>
            <w:r>
              <w:rPr>
                <w:rFonts w:ascii="Arial" w:hAnsi="Arial"/>
                <w:b/>
                <w:color w:val="FFFFFF"/>
                <w:sz w:val="18"/>
              </w:rPr>
              <w:t>Scenario</w:t>
            </w:r>
          </w:p>
        </w:tc>
        <w:tc>
          <w:tcPr>
            <w:tcW w:type="dxa" w:w="7178"/>
            <w:tcMar>
              <w:top w:w="100" w:type="dxa"/>
              <w:start w:w="120" w:type="dxa"/>
              <w:bottom w:w="100" w:type="dxa"/>
              <w:end w:w="120" w:type="dxa"/>
            </w:tcMar>
            <w:vAlign w:val="center"/>
            <w:shd w:fill="161616"/>
          </w:tcPr>
          <w:p>
            <w:pPr>
              <w:jc w:val="center"/>
            </w:pPr>
            <w:r>
              <w:rPr>
                <w:rFonts w:ascii="Arial" w:hAnsi="Arial"/>
                <w:b/>
                <w:color w:val="FFFFFF"/>
                <w:sz w:val="18"/>
              </w:rPr>
              <w:t>Use</w:t>
            </w:r>
          </w:p>
        </w:tc>
      </w:tr>
      <w:tr>
        <w:tc>
          <w:tcPr>
            <w:tcW w:type="dxa" w:w="2200"/>
          </w:tcPr>
          <w:p>
            <w:pPr>
              <w:jc w:val="center"/>
            </w:pPr>
            <w:r>
              <w:rPr>
                <w:rFonts w:ascii="Arial" w:hAnsi="Arial"/>
                <w:color w:val="161616"/>
                <w:sz w:val="18"/>
              </w:rPr>
              <w:t>base</w:t>
            </w:r>
          </w:p>
        </w:tc>
        <w:tc>
          <w:tcPr>
            <w:tcW w:type="dxa" w:w="7178"/>
          </w:tcPr>
          <w:p>
            <w:pPr>
              <w:jc w:val="left"/>
            </w:pPr>
            <w:r>
              <w:rPr>
                <w:rFonts w:ascii="Arial" w:hAnsi="Arial"/>
                <w:color w:val="161616"/>
                <w:sz w:val="18"/>
              </w:rPr>
              <w:t>Approved operating expectation.</w:t>
            </w:r>
          </w:p>
        </w:tc>
      </w:tr>
      <w:tr>
        <w:tc>
          <w:tcPr>
            <w:tcW w:type="dxa" w:w="2200"/>
            <w:shd w:fill="FAFAFA"/>
          </w:tcPr>
          <w:p>
            <w:pPr>
              <w:jc w:val="center"/>
            </w:pPr>
            <w:r>
              <w:rPr>
                <w:rFonts w:ascii="Arial" w:hAnsi="Arial"/>
                <w:color w:val="161616"/>
                <w:sz w:val="18"/>
              </w:rPr>
              <w:t>optimistic</w:t>
            </w:r>
          </w:p>
        </w:tc>
        <w:tc>
          <w:tcPr>
            <w:tcW w:type="dxa" w:w="7178"/>
            <w:shd w:fill="FAFAFA"/>
          </w:tcPr>
          <w:p>
            <w:pPr>
              <w:jc w:val="left"/>
            </w:pPr>
            <w:r>
              <w:rPr>
                <w:rFonts w:ascii="Arial" w:hAnsi="Arial"/>
                <w:color w:val="161616"/>
                <w:sz w:val="18"/>
              </w:rPr>
              <w:t>Upside scenario with documented assumptions.</w:t>
            </w:r>
          </w:p>
        </w:tc>
      </w:tr>
      <w:tr>
        <w:tc>
          <w:tcPr>
            <w:tcW w:type="dxa" w:w="2200"/>
          </w:tcPr>
          <w:p>
            <w:pPr>
              <w:jc w:val="center"/>
            </w:pPr>
            <w:r>
              <w:rPr>
                <w:rFonts w:ascii="Arial" w:hAnsi="Arial"/>
                <w:color w:val="161616"/>
                <w:sz w:val="18"/>
              </w:rPr>
              <w:t>conservative</w:t>
            </w:r>
          </w:p>
        </w:tc>
        <w:tc>
          <w:tcPr>
            <w:tcW w:type="dxa" w:w="7178"/>
          </w:tcPr>
          <w:p>
            <w:pPr>
              <w:jc w:val="left"/>
            </w:pPr>
            <w:r>
              <w:rPr>
                <w:rFonts w:ascii="Arial" w:hAnsi="Arial"/>
                <w:color w:val="161616"/>
                <w:sz w:val="18"/>
              </w:rPr>
              <w:t>Downside scenario for risk planning.</w:t>
            </w:r>
          </w:p>
        </w:tc>
      </w:tr>
      <w:tr>
        <w:tc>
          <w:tcPr>
            <w:tcW w:type="dxa" w:w="2200"/>
            <w:shd w:fill="FAFAFA"/>
          </w:tcPr>
          <w:p>
            <w:pPr>
              <w:jc w:val="center"/>
            </w:pPr>
            <w:r>
              <w:rPr>
                <w:rFonts w:ascii="Arial" w:hAnsi="Arial"/>
                <w:color w:val="161616"/>
                <w:sz w:val="18"/>
              </w:rPr>
              <w:t>reforecast</w:t>
            </w:r>
          </w:p>
        </w:tc>
        <w:tc>
          <w:tcPr>
            <w:tcW w:type="dxa" w:w="7178"/>
            <w:shd w:fill="FAFAFA"/>
          </w:tcPr>
          <w:p>
            <w:pPr>
              <w:jc w:val="left"/>
            </w:pPr>
            <w:r>
              <w:rPr>
                <w:rFonts w:ascii="Arial" w:hAnsi="Arial"/>
                <w:color w:val="161616"/>
                <w:sz w:val="18"/>
              </w:rPr>
              <w:t>Updated expectation based on actual performance and new information.</w:t>
            </w:r>
          </w:p>
        </w:tc>
      </w:tr>
    </w:tbl>
    <w:p>
      <w:pPr>
        <w:spacing w:after="0"/>
      </w:pPr>
    </w:p>
    <w:tbl>
      <w:tblPr>
        <w:tblW w:type="dxa" w:w="9878"/>
        <w:jc w:val="left"/>
        <w:tblLayout w:type="fixed"/>
        <w:tblLook w:firstColumn="1" w:firstRow="1" w:lastColumn="0" w:lastRow="0" w:noHBand="0" w:noVBand="1" w:val="04A0"/>
        <w:tblInd w:w="0" w:type="dxa"/>
      </w:tblPr>
      <w:tblGrid>
        <w:gridCol w:w="9878"/>
      </w:tblGrid>
      <w:tr>
        <w:tc>
          <w:tcPr>
            <w:tcW w:type="dxa" w:w="9878"/>
            <w:tcMar>
              <w:top w:w="100" w:type="dxa"/>
              <w:start w:w="120" w:type="dxa"/>
              <w:bottom w:w="100" w:type="dxa"/>
              <w:end w:w="120" w:type="dxa"/>
            </w:tcMar>
            <w:vAlign w:val="center"/>
            <w:shd w:fill="F3F4F6"/>
          </w:tcPr>
          <w:p>
            <w:pPr>
              <w:spacing w:after="60"/>
            </w:pPr>
            <w:r>
              <w:rPr>
                <w:rFonts w:ascii="Arial" w:hAnsi="Arial"/>
                <w:b/>
                <w:color w:val="666666"/>
                <w:sz w:val="21"/>
              </w:rPr>
              <w:t>Comparison control</w:t>
            </w:r>
          </w:p>
          <w:p>
            <w:pPr>
              <w:spacing w:after="0"/>
            </w:pPr>
            <w:r>
              <w:rPr>
                <w:rFonts w:ascii="Arial" w:hAnsi="Arial"/>
                <w:color w:val="161616"/>
                <w:sz w:val="19"/>
              </w:rPr>
              <w:t>Actual profitability is sourced from posted/approved accounting records. A budget or snapshot does not change the ledger; it is a planning and analysis layer.</w:t>
            </w:r>
          </w:p>
        </w:tc>
      </w:tr>
    </w:tbl>
    <w:p>
      <w:pPr>
        <w:spacing w:after="0"/>
      </w:pPr>
    </w:p>
    <w:p>
      <w:pPr>
        <w:pStyle w:val="Heading1"/>
      </w:pPr>
      <w:r>
        <w:t>13. Close Controls</w:t>
      </w:r>
    </w:p>
    <w:p>
      <w:pPr>
        <w:spacing w:before="60"/>
        <w:jc w:val="center"/>
      </w:pPr>
      <w:r>
        <w:drawing>
          <wp:inline xmlns:a="http://schemas.openxmlformats.org/drawingml/2006/main" xmlns:pic="http://schemas.openxmlformats.org/drawingml/2006/picture">
            <wp:extent cx="4434840" cy="5934417"/>
            <wp:docPr id="11" name="Picture 11"/>
            <wp:cNvGraphicFramePr>
              <a:graphicFrameLocks noChangeAspect="1"/>
            </wp:cNvGraphicFramePr>
            <a:graphic>
              <a:graphicData uri="http://schemas.openxmlformats.org/drawingml/2006/picture">
                <pic:pic>
                  <pic:nvPicPr>
                    <pic:cNvPr id="0" name="cropped-10-close-controls.png"/>
                    <pic:cNvPicPr/>
                  </pic:nvPicPr>
                  <pic:blipFill>
                    <a:blip r:embed="rId21"/>
                    <a:stretch>
                      <a:fillRect/>
                    </a:stretch>
                  </pic:blipFill>
                  <pic:spPr>
                    <a:xfrm>
                      <a:off x="0" y="0"/>
                      <a:ext cx="4434840" cy="5934417"/>
                    </a:xfrm>
                    <a:prstGeom prst="rect"/>
                  </pic:spPr>
                </pic:pic>
              </a:graphicData>
            </a:graphic>
          </wp:inline>
        </w:drawing>
      </w:r>
    </w:p>
    <w:p>
      <w:pPr>
        <w:spacing w:after="100"/>
        <w:jc w:val="center"/>
      </w:pPr>
      <w:r>
        <w:rPr>
          <w:rFonts w:ascii="Arial" w:hAnsi="Arial"/>
          <w:b/>
          <w:i/>
          <w:color w:val="666666"/>
          <w:sz w:val="17"/>
        </w:rPr>
        <w:t>Figure 10 — Close Controls</w:t>
      </w:r>
    </w:p>
    <w:p>
      <w:pPr>
        <w:spacing w:after="80"/>
      </w:pPr>
      <w:r>
        <w:rPr>
          <w:rFonts w:ascii="Arial" w:hAnsi="Arial"/>
          <w:i w:val="0"/>
          <w:color w:val="161616"/>
          <w:sz w:val="22"/>
        </w:rPr>
        <w:t>Close Controls turns month-end into an owned, evidenced checklist. Create one checklist per month, link the accounting period, assign tasks, track status and lock only after review.</w:t>
      </w:r>
    </w:p>
    <w:p>
      <w:pPr>
        <w:pStyle w:val="ListBullet"/>
        <w:ind w:left="540" w:hanging="271"/>
      </w:pPr>
      <w:r>
        <w:rPr>
          <w:rFonts w:ascii="Arial" w:hAnsi="Arial"/>
          <w:color w:val="161616"/>
          <w:sz w:val="22"/>
        </w:rPr>
        <w:t>Checklist statuses: open, in progress, ready for review, closed or reopened.</w:t>
      </w:r>
    </w:p>
    <w:p>
      <w:pPr>
        <w:pStyle w:val="ListBullet"/>
        <w:ind w:left="540" w:hanging="271"/>
      </w:pPr>
      <w:r>
        <w:rPr>
          <w:rFonts w:ascii="Arial" w:hAnsi="Arial"/>
          <w:color w:val="161616"/>
          <w:sz w:val="22"/>
        </w:rPr>
        <w:t>Task statuses: pending, in progress, completed, reviewed, blocked or not applicable.</w:t>
      </w:r>
    </w:p>
    <w:p>
      <w:pPr>
        <w:pStyle w:val="ListBullet"/>
        <w:ind w:left="540" w:hanging="271"/>
      </w:pPr>
      <w:r>
        <w:rPr>
          <w:rFonts w:ascii="Arial" w:hAnsi="Arial"/>
          <w:color w:val="161616"/>
          <w:sz w:val="22"/>
        </w:rPr>
        <w:t>Each task should have an area, owner, due date, status, evidence reference and useful notes.</w:t>
      </w:r>
    </w:p>
    <w:p>
      <w:pPr>
        <w:pStyle w:val="ListBullet"/>
        <w:ind w:left="540" w:hanging="271"/>
      </w:pPr>
      <w:r>
        <w:rPr>
          <w:rFonts w:ascii="Arial" w:hAnsi="Arial"/>
          <w:color w:val="161616"/>
          <w:sz w:val="22"/>
        </w:rPr>
        <w:t>Lock Close and Reopen are approval-level actions; reopening must be justified and reviewed.</w:t>
      </w:r>
    </w:p>
    <w:p>
      <w:pPr>
        <w:pStyle w:val="Heading2"/>
      </w:pPr>
      <w:r>
        <w:t>Minimum close areas</w:t>
      </w:r>
    </w:p>
    <w:tbl>
      <w:tblPr>
        <w:tblStyle w:val="TableGrid"/>
        <w:tblW w:type="dxa" w:w="9378"/>
        <w:jc w:val="left"/>
        <w:tblLayout w:type="fixed"/>
        <w:tblLook w:firstColumn="1" w:firstRow="1" w:lastColumn="0" w:lastRow="0" w:noHBand="0" w:noVBand="1" w:val="04A0"/>
        <w:tblInd w:w="120" w:type="dxa"/>
      </w:tblPr>
      <w:tblGrid>
        <w:gridCol w:w="2100"/>
        <w:gridCol w:w="7278"/>
      </w:tblGrid>
      <w:tr>
        <w:trPr>
          <w:tblHeader w:val="true"/>
        </w:trPr>
        <w:tc>
          <w:tcPr>
            <w:tcW w:type="dxa" w:w="2100"/>
            <w:tcMar>
              <w:top w:w="100" w:type="dxa"/>
              <w:start w:w="120" w:type="dxa"/>
              <w:bottom w:w="100" w:type="dxa"/>
              <w:end w:w="120" w:type="dxa"/>
            </w:tcMar>
            <w:vAlign w:val="center"/>
            <w:shd w:fill="161616"/>
          </w:tcPr>
          <w:p>
            <w:pPr>
              <w:jc w:val="center"/>
            </w:pPr>
            <w:r>
              <w:rPr>
                <w:rFonts w:ascii="Arial" w:hAnsi="Arial"/>
                <w:b/>
                <w:color w:val="FFFFFF"/>
                <w:sz w:val="17"/>
              </w:rPr>
              <w:t>Area</w:t>
            </w:r>
          </w:p>
        </w:tc>
        <w:tc>
          <w:tcPr>
            <w:tcW w:type="dxa" w:w="7278"/>
            <w:tcMar>
              <w:top w:w="100" w:type="dxa"/>
              <w:start w:w="120" w:type="dxa"/>
              <w:bottom w:w="100" w:type="dxa"/>
              <w:end w:w="120" w:type="dxa"/>
            </w:tcMar>
            <w:vAlign w:val="center"/>
            <w:shd w:fill="161616"/>
          </w:tcPr>
          <w:p>
            <w:pPr>
              <w:jc w:val="center"/>
            </w:pPr>
            <w:r>
              <w:rPr>
                <w:rFonts w:ascii="Arial" w:hAnsi="Arial"/>
                <w:b/>
                <w:color w:val="FFFFFF"/>
                <w:sz w:val="17"/>
              </w:rPr>
              <w:t>Minimum completion evidence</w:t>
            </w:r>
          </w:p>
        </w:tc>
      </w:tr>
      <w:tr>
        <w:tc>
          <w:tcPr>
            <w:tcW w:type="dxa" w:w="2100"/>
          </w:tcPr>
          <w:p>
            <w:pPr>
              <w:jc w:val="center"/>
            </w:pPr>
            <w:r>
              <w:rPr>
                <w:rFonts w:ascii="Arial" w:hAnsi="Arial"/>
                <w:color w:val="161616"/>
                <w:sz w:val="17"/>
              </w:rPr>
              <w:t>Source completeness</w:t>
            </w:r>
          </w:p>
        </w:tc>
        <w:tc>
          <w:tcPr>
            <w:tcW w:type="dxa" w:w="7278"/>
          </w:tcPr>
          <w:p>
            <w:pPr>
              <w:jc w:val="left"/>
            </w:pPr>
            <w:r>
              <w:rPr>
                <w:rFonts w:ascii="Arial" w:hAnsi="Arial"/>
                <w:color w:val="161616"/>
                <w:sz w:val="17"/>
              </w:rPr>
              <w:t>All divisions confirm approved bills, credit notes, receipts, statements and expenses are sent to Central Accounts.</w:t>
            </w:r>
          </w:p>
        </w:tc>
      </w:tr>
      <w:tr>
        <w:tc>
          <w:tcPr>
            <w:tcW w:type="dxa" w:w="2100"/>
            <w:shd w:fill="FAFAFA"/>
          </w:tcPr>
          <w:p>
            <w:pPr>
              <w:jc w:val="center"/>
            </w:pPr>
            <w:r>
              <w:rPr>
                <w:rFonts w:ascii="Arial" w:hAnsi="Arial"/>
                <w:color w:val="161616"/>
                <w:sz w:val="17"/>
              </w:rPr>
              <w:t>Posting queue</w:t>
            </w:r>
          </w:p>
        </w:tc>
        <w:tc>
          <w:tcPr>
            <w:tcW w:type="dxa" w:w="7278"/>
            <w:shd w:fill="FAFAFA"/>
          </w:tcPr>
          <w:p>
            <w:pPr>
              <w:jc w:val="left"/>
            </w:pPr>
            <w:r>
              <w:rPr>
                <w:rFonts w:ascii="Arial" w:hAnsi="Arial"/>
                <w:color w:val="161616"/>
                <w:sz w:val="17"/>
              </w:rPr>
              <w:t>No unexplained ready, processing or failed items remain.</w:t>
            </w:r>
          </w:p>
        </w:tc>
      </w:tr>
      <w:tr>
        <w:tc>
          <w:tcPr>
            <w:tcW w:type="dxa" w:w="2100"/>
          </w:tcPr>
          <w:p>
            <w:pPr>
              <w:jc w:val="center"/>
            </w:pPr>
            <w:r>
              <w:rPr>
                <w:rFonts w:ascii="Arial" w:hAnsi="Arial"/>
                <w:color w:val="161616"/>
                <w:sz w:val="17"/>
              </w:rPr>
              <w:t>Receivables / Payables</w:t>
            </w:r>
          </w:p>
        </w:tc>
        <w:tc>
          <w:tcPr>
            <w:tcW w:type="dxa" w:w="7278"/>
          </w:tcPr>
          <w:p>
            <w:pPr>
              <w:jc w:val="left"/>
            </w:pPr>
            <w:r>
              <w:rPr>
                <w:rFonts w:ascii="Arial" w:hAnsi="Arial"/>
                <w:color w:val="161616"/>
                <w:sz w:val="17"/>
              </w:rPr>
              <w:t>Open-item books reconcile to control accounts; aging exceptions have owners.</w:t>
            </w:r>
          </w:p>
        </w:tc>
      </w:tr>
      <w:tr>
        <w:tc>
          <w:tcPr>
            <w:tcW w:type="dxa" w:w="2100"/>
            <w:shd w:fill="FAFAFA"/>
          </w:tcPr>
          <w:p>
            <w:pPr>
              <w:jc w:val="center"/>
            </w:pPr>
            <w:r>
              <w:rPr>
                <w:rFonts w:ascii="Arial" w:hAnsi="Arial"/>
                <w:color w:val="161616"/>
                <w:sz w:val="17"/>
              </w:rPr>
              <w:t>Bank / Treasury</w:t>
            </w:r>
          </w:p>
        </w:tc>
        <w:tc>
          <w:tcPr>
            <w:tcW w:type="dxa" w:w="7278"/>
            <w:shd w:fill="FAFAFA"/>
          </w:tcPr>
          <w:p>
            <w:pPr>
              <w:jc w:val="left"/>
            </w:pPr>
            <w:r>
              <w:rPr>
                <w:rFonts w:ascii="Arial" w:hAnsi="Arial"/>
                <w:color w:val="161616"/>
                <w:sz w:val="17"/>
              </w:rPr>
              <w:t>All bank accounts reconciled and certificates/evidence retained.</w:t>
            </w:r>
          </w:p>
        </w:tc>
      </w:tr>
      <w:tr>
        <w:tc>
          <w:tcPr>
            <w:tcW w:type="dxa" w:w="2100"/>
          </w:tcPr>
          <w:p>
            <w:pPr>
              <w:jc w:val="center"/>
            </w:pPr>
            <w:r>
              <w:rPr>
                <w:rFonts w:ascii="Arial" w:hAnsi="Arial"/>
                <w:color w:val="161616"/>
                <w:sz w:val="17"/>
              </w:rPr>
              <w:t>GST / TDS</w:t>
            </w:r>
          </w:p>
        </w:tc>
        <w:tc>
          <w:tcPr>
            <w:tcW w:type="dxa" w:w="7278"/>
          </w:tcPr>
          <w:p>
            <w:pPr>
              <w:jc w:val="left"/>
            </w:pPr>
            <w:r>
              <w:rPr>
                <w:rFonts w:ascii="Arial" w:hAnsi="Arial"/>
                <w:color w:val="161616"/>
                <w:sz w:val="17"/>
              </w:rPr>
              <w:t>Registers reconciled, exceptions documented and filing/payment status updated.</w:t>
            </w:r>
          </w:p>
        </w:tc>
      </w:tr>
      <w:tr>
        <w:tc>
          <w:tcPr>
            <w:tcW w:type="dxa" w:w="2100"/>
            <w:shd w:fill="FAFAFA"/>
          </w:tcPr>
          <w:p>
            <w:pPr>
              <w:jc w:val="center"/>
            </w:pPr>
            <w:r>
              <w:rPr>
                <w:rFonts w:ascii="Arial" w:hAnsi="Arial"/>
                <w:color w:val="161616"/>
                <w:sz w:val="17"/>
              </w:rPr>
              <w:t>Fixed assets</w:t>
            </w:r>
          </w:p>
        </w:tc>
        <w:tc>
          <w:tcPr>
            <w:tcW w:type="dxa" w:w="7278"/>
            <w:shd w:fill="FAFAFA"/>
          </w:tcPr>
          <w:p>
            <w:pPr>
              <w:jc w:val="left"/>
            </w:pPr>
            <w:r>
              <w:rPr>
                <w:rFonts w:ascii="Arial" w:hAnsi="Arial"/>
                <w:color w:val="161616"/>
                <w:sz w:val="17"/>
              </w:rPr>
              <w:t>Additions, disposals, transfers and depreciation reviewed and posted.</w:t>
            </w:r>
          </w:p>
        </w:tc>
      </w:tr>
      <w:tr>
        <w:tc>
          <w:tcPr>
            <w:tcW w:type="dxa" w:w="2100"/>
          </w:tcPr>
          <w:p>
            <w:pPr>
              <w:jc w:val="center"/>
            </w:pPr>
            <w:r>
              <w:rPr>
                <w:rFonts w:ascii="Arial" w:hAnsi="Arial"/>
                <w:color w:val="161616"/>
                <w:sz w:val="17"/>
              </w:rPr>
              <w:t>Journals</w:t>
            </w:r>
          </w:p>
        </w:tc>
        <w:tc>
          <w:tcPr>
            <w:tcW w:type="dxa" w:w="7278"/>
          </w:tcPr>
          <w:p>
            <w:pPr>
              <w:jc w:val="left"/>
            </w:pPr>
            <w:r>
              <w:rPr>
                <w:rFonts w:ascii="Arial" w:hAnsi="Arial"/>
                <w:color w:val="161616"/>
                <w:sz w:val="17"/>
              </w:rPr>
              <w:t>Manual and automated journals reviewed for balance, narration, references and unusual entries.</w:t>
            </w:r>
          </w:p>
        </w:tc>
      </w:tr>
      <w:tr>
        <w:tc>
          <w:tcPr>
            <w:tcW w:type="dxa" w:w="2100"/>
            <w:shd w:fill="FAFAFA"/>
          </w:tcPr>
          <w:p>
            <w:pPr>
              <w:jc w:val="center"/>
            </w:pPr>
            <w:r>
              <w:rPr>
                <w:rFonts w:ascii="Arial" w:hAnsi="Arial"/>
                <w:color w:val="161616"/>
                <w:sz w:val="17"/>
              </w:rPr>
              <w:t>Reports</w:t>
            </w:r>
          </w:p>
        </w:tc>
        <w:tc>
          <w:tcPr>
            <w:tcW w:type="dxa" w:w="7278"/>
            <w:shd w:fill="FAFAFA"/>
          </w:tcPr>
          <w:p>
            <w:pPr>
              <w:jc w:val="left"/>
            </w:pPr>
            <w:r>
              <w:rPr>
                <w:rFonts w:ascii="Arial" w:hAnsi="Arial"/>
                <w:color w:val="161616"/>
                <w:sz w:val="17"/>
              </w:rPr>
              <w:t>Trial balance and financial statements reviewed; material variances explained.</w:t>
            </w:r>
          </w:p>
        </w:tc>
      </w:tr>
    </w:tbl>
    <w:p>
      <w:pPr>
        <w:spacing w:after="0"/>
      </w:pPr>
    </w:p>
    <w:p>
      <w:pPr>
        <w:pStyle w:val="Heading1"/>
      </w:pPr>
      <w:r>
        <w:t>14. Financial Reporting and Consolidated Books</w:t>
      </w:r>
    </w:p>
    <w:p>
      <w:pPr>
        <w:spacing w:before="60"/>
        <w:jc w:val="center"/>
      </w:pPr>
      <w:r>
        <w:drawing>
          <wp:inline xmlns:a="http://schemas.openxmlformats.org/drawingml/2006/main" xmlns:pic="http://schemas.openxmlformats.org/drawingml/2006/picture">
            <wp:extent cx="4434840" cy="5934417"/>
            <wp:docPr id="12" name="Picture 12"/>
            <wp:cNvGraphicFramePr>
              <a:graphicFrameLocks noChangeAspect="1"/>
            </wp:cNvGraphicFramePr>
            <a:graphic>
              <a:graphicData uri="http://schemas.openxmlformats.org/drawingml/2006/picture">
                <pic:pic>
                  <pic:nvPicPr>
                    <pic:cNvPr id="0" name="cropped-08-reporting.png"/>
                    <pic:cNvPicPr/>
                  </pic:nvPicPr>
                  <pic:blipFill>
                    <a:blip r:embed="rId22"/>
                    <a:stretch>
                      <a:fillRect/>
                    </a:stretch>
                  </pic:blipFill>
                  <pic:spPr>
                    <a:xfrm>
                      <a:off x="0" y="0"/>
                      <a:ext cx="4434840" cy="5934417"/>
                    </a:xfrm>
                    <a:prstGeom prst="rect"/>
                  </pic:spPr>
                </pic:pic>
              </a:graphicData>
            </a:graphic>
          </wp:inline>
        </w:drawing>
      </w:r>
    </w:p>
    <w:p>
      <w:pPr>
        <w:spacing w:after="100"/>
        <w:jc w:val="center"/>
      </w:pPr>
      <w:r>
        <w:rPr>
          <w:rFonts w:ascii="Arial" w:hAnsi="Arial"/>
          <w:b/>
          <w:i/>
          <w:color w:val="666666"/>
          <w:sz w:val="17"/>
        </w:rPr>
        <w:t>Figure 11 — Central Accounts Reporting</w:t>
      </w:r>
    </w:p>
    <w:p>
      <w:pPr>
        <w:spacing w:after="80"/>
      </w:pPr>
      <w:r>
        <w:rPr>
          <w:rFonts w:ascii="Arial" w:hAnsi="Arial"/>
          <w:i w:val="0"/>
          <w:color w:val="161616"/>
          <w:sz w:val="22"/>
        </w:rPr>
        <w:t>Reporting is built from existing journals, financial documents, open items and treasury movements. It does not create a duplicate ledger.</w:t>
      </w:r>
    </w:p>
    <w:p>
      <w:pPr>
        <w:pStyle w:val="ListBullet"/>
        <w:ind w:left="540" w:hanging="271"/>
      </w:pPr>
      <w:r>
        <w:rPr>
          <w:rFonts w:ascii="Arial" w:hAnsi="Arial"/>
          <w:color w:val="161616"/>
          <w:sz w:val="22"/>
        </w:rPr>
        <w:t>Choose the required period, division and report section before interpreting results.</w:t>
      </w:r>
    </w:p>
    <w:p>
      <w:pPr>
        <w:pStyle w:val="ListBullet"/>
        <w:ind w:left="540" w:hanging="271"/>
      </w:pPr>
      <w:r>
        <w:rPr>
          <w:rFonts w:ascii="Arial" w:hAnsi="Arial"/>
          <w:color w:val="161616"/>
          <w:sz w:val="22"/>
        </w:rPr>
        <w:t>Use CSV for analysis, PDF for a fixed record and Print for controlled paper/save-to-PDF output.</w:t>
      </w:r>
    </w:p>
    <w:p>
      <w:pPr>
        <w:pStyle w:val="ListBullet"/>
        <w:ind w:left="540" w:hanging="271"/>
      </w:pPr>
      <w:r>
        <w:rPr>
          <w:rFonts w:ascii="Arial" w:hAnsi="Arial"/>
          <w:color w:val="161616"/>
          <w:sz w:val="22"/>
        </w:rPr>
        <w:t>Check report totals against the journal/trial balance before external circulation.</w:t>
      </w:r>
    </w:p>
    <w:p>
      <w:pPr>
        <w:pStyle w:val="ListBullet"/>
        <w:ind w:left="540" w:hanging="271"/>
      </w:pPr>
      <w:r>
        <w:rPr>
          <w:rFonts w:ascii="Arial" w:hAnsi="Arial"/>
          <w:color w:val="161616"/>
          <w:sz w:val="22"/>
        </w:rPr>
        <w:t>Keep generated date, filters and reviewer sign-off with formal reporting packs.</w:t>
      </w:r>
    </w:p>
    <w:p>
      <w:pPr>
        <w:pStyle w:val="Heading2"/>
      </w:pPr>
      <w:r>
        <w:t>Reports and review questions</w:t>
      </w:r>
    </w:p>
    <w:tbl>
      <w:tblPr>
        <w:tblStyle w:val="TableGrid"/>
        <w:tblW w:type="dxa" w:w="9378"/>
        <w:jc w:val="left"/>
        <w:tblLayout w:type="fixed"/>
        <w:tblLook w:firstColumn="1" w:firstRow="1" w:lastColumn="0" w:lastRow="0" w:noHBand="0" w:noVBand="1" w:val="04A0"/>
        <w:tblInd w:w="120" w:type="dxa"/>
      </w:tblPr>
      <w:tblGrid>
        <w:gridCol w:w="2400"/>
        <w:gridCol w:w="6978"/>
      </w:tblGrid>
      <w:tr>
        <w:trPr>
          <w:tblHeader w:val="true"/>
        </w:trPr>
        <w:tc>
          <w:tcPr>
            <w:tcW w:type="dxa" w:w="2400"/>
            <w:tcMar>
              <w:top w:w="100" w:type="dxa"/>
              <w:start w:w="120" w:type="dxa"/>
              <w:bottom w:w="100" w:type="dxa"/>
              <w:end w:w="120" w:type="dxa"/>
            </w:tcMar>
            <w:vAlign w:val="center"/>
            <w:shd w:fill="161616"/>
          </w:tcPr>
          <w:p>
            <w:pPr>
              <w:jc w:val="center"/>
            </w:pPr>
            <w:r>
              <w:rPr>
                <w:rFonts w:ascii="Arial" w:hAnsi="Arial"/>
                <w:b/>
                <w:color w:val="FFFFFF"/>
                <w:sz w:val="17"/>
              </w:rPr>
              <w:t>Report</w:t>
            </w:r>
          </w:p>
        </w:tc>
        <w:tc>
          <w:tcPr>
            <w:tcW w:type="dxa" w:w="6978"/>
            <w:tcMar>
              <w:top w:w="100" w:type="dxa"/>
              <w:start w:w="120" w:type="dxa"/>
              <w:bottom w:w="100" w:type="dxa"/>
              <w:end w:w="120" w:type="dxa"/>
            </w:tcMar>
            <w:vAlign w:val="center"/>
            <w:shd w:fill="161616"/>
          </w:tcPr>
          <w:p>
            <w:pPr>
              <w:jc w:val="center"/>
            </w:pPr>
            <w:r>
              <w:rPr>
                <w:rFonts w:ascii="Arial" w:hAnsi="Arial"/>
                <w:b/>
                <w:color w:val="FFFFFF"/>
                <w:sz w:val="17"/>
              </w:rPr>
              <w:t>Reviewer question</w:t>
            </w:r>
          </w:p>
        </w:tc>
      </w:tr>
      <w:tr>
        <w:tc>
          <w:tcPr>
            <w:tcW w:type="dxa" w:w="2400"/>
          </w:tcPr>
          <w:p>
            <w:pPr>
              <w:jc w:val="center"/>
            </w:pPr>
            <w:r>
              <w:rPr>
                <w:rFonts w:ascii="Arial" w:hAnsi="Arial"/>
                <w:color w:val="161616"/>
                <w:sz w:val="17"/>
              </w:rPr>
              <w:t>Trial Balance</w:t>
            </w:r>
          </w:p>
        </w:tc>
        <w:tc>
          <w:tcPr>
            <w:tcW w:type="dxa" w:w="6978"/>
          </w:tcPr>
          <w:p>
            <w:pPr>
              <w:jc w:val="left"/>
            </w:pPr>
            <w:r>
              <w:rPr>
                <w:rFonts w:ascii="Arial" w:hAnsi="Arial"/>
                <w:color w:val="161616"/>
                <w:sz w:val="17"/>
              </w:rPr>
              <w:t>Do total debits equal total credits, and are unusual account balances explained?</w:t>
            </w:r>
          </w:p>
        </w:tc>
      </w:tr>
      <w:tr>
        <w:tc>
          <w:tcPr>
            <w:tcW w:type="dxa" w:w="2400"/>
            <w:shd w:fill="FAFAFA"/>
          </w:tcPr>
          <w:p>
            <w:pPr>
              <w:jc w:val="center"/>
            </w:pPr>
            <w:r>
              <w:rPr>
                <w:rFonts w:ascii="Arial" w:hAnsi="Arial"/>
                <w:color w:val="161616"/>
                <w:sz w:val="17"/>
              </w:rPr>
              <w:t>Profit &amp; Loss</w:t>
            </w:r>
          </w:p>
        </w:tc>
        <w:tc>
          <w:tcPr>
            <w:tcW w:type="dxa" w:w="6978"/>
            <w:shd w:fill="FAFAFA"/>
          </w:tcPr>
          <w:p>
            <w:pPr>
              <w:jc w:val="left"/>
            </w:pPr>
            <w:r>
              <w:rPr>
                <w:rFonts w:ascii="Arial" w:hAnsi="Arial"/>
                <w:color w:val="161616"/>
                <w:sz w:val="17"/>
              </w:rPr>
              <w:t>Are revenue/cost classifications correct and material movements explained?</w:t>
            </w:r>
          </w:p>
        </w:tc>
      </w:tr>
      <w:tr>
        <w:tc>
          <w:tcPr>
            <w:tcW w:type="dxa" w:w="2400"/>
          </w:tcPr>
          <w:p>
            <w:pPr>
              <w:jc w:val="center"/>
            </w:pPr>
            <w:r>
              <w:rPr>
                <w:rFonts w:ascii="Arial" w:hAnsi="Arial"/>
                <w:color w:val="161616"/>
                <w:sz w:val="17"/>
              </w:rPr>
              <w:t>Balance Sheet</w:t>
            </w:r>
          </w:p>
        </w:tc>
        <w:tc>
          <w:tcPr>
            <w:tcW w:type="dxa" w:w="6978"/>
          </w:tcPr>
          <w:p>
            <w:pPr>
              <w:jc w:val="left"/>
            </w:pPr>
            <w:r>
              <w:rPr>
                <w:rFonts w:ascii="Arial" w:hAnsi="Arial"/>
                <w:color w:val="161616"/>
                <w:sz w:val="17"/>
              </w:rPr>
              <w:t>Do control accounts, taxes, bank, assets and equity reconcile to schedules?</w:t>
            </w:r>
          </w:p>
        </w:tc>
      </w:tr>
      <w:tr>
        <w:tc>
          <w:tcPr>
            <w:tcW w:type="dxa" w:w="2400"/>
            <w:shd w:fill="FAFAFA"/>
          </w:tcPr>
          <w:p>
            <w:pPr>
              <w:jc w:val="center"/>
            </w:pPr>
            <w:r>
              <w:rPr>
                <w:rFonts w:ascii="Arial" w:hAnsi="Arial"/>
                <w:color w:val="161616"/>
                <w:sz w:val="17"/>
              </w:rPr>
              <w:t>Receivables / Payables</w:t>
            </w:r>
          </w:p>
        </w:tc>
        <w:tc>
          <w:tcPr>
            <w:tcW w:type="dxa" w:w="6978"/>
            <w:shd w:fill="FAFAFA"/>
          </w:tcPr>
          <w:p>
            <w:pPr>
              <w:jc w:val="left"/>
            </w:pPr>
            <w:r>
              <w:rPr>
                <w:rFonts w:ascii="Arial" w:hAnsi="Arial"/>
                <w:color w:val="161616"/>
                <w:sz w:val="17"/>
              </w:rPr>
              <w:t>Do open items and aging agree with control accounts and source parties?</w:t>
            </w:r>
          </w:p>
        </w:tc>
      </w:tr>
      <w:tr>
        <w:tc>
          <w:tcPr>
            <w:tcW w:type="dxa" w:w="2400"/>
          </w:tcPr>
          <w:p>
            <w:pPr>
              <w:jc w:val="center"/>
            </w:pPr>
            <w:r>
              <w:rPr>
                <w:rFonts w:ascii="Arial" w:hAnsi="Arial"/>
                <w:color w:val="161616"/>
                <w:sz w:val="17"/>
              </w:rPr>
              <w:t>Cash / Treasury</w:t>
            </w:r>
          </w:p>
        </w:tc>
        <w:tc>
          <w:tcPr>
            <w:tcW w:type="dxa" w:w="6978"/>
          </w:tcPr>
          <w:p>
            <w:pPr>
              <w:jc w:val="left"/>
            </w:pPr>
            <w:r>
              <w:rPr>
                <w:rFonts w:ascii="Arial" w:hAnsi="Arial"/>
                <w:color w:val="161616"/>
                <w:sz w:val="17"/>
              </w:rPr>
              <w:t>Do book balances reconcile to bank statements and certificates?</w:t>
            </w:r>
          </w:p>
        </w:tc>
      </w:tr>
      <w:tr>
        <w:tc>
          <w:tcPr>
            <w:tcW w:type="dxa" w:w="2400"/>
            <w:shd w:fill="FAFAFA"/>
          </w:tcPr>
          <w:p>
            <w:pPr>
              <w:jc w:val="center"/>
            </w:pPr>
            <w:r>
              <w:rPr>
                <w:rFonts w:ascii="Arial" w:hAnsi="Arial"/>
                <w:color w:val="161616"/>
                <w:sz w:val="17"/>
              </w:rPr>
              <w:t>Division profitability</w:t>
            </w:r>
          </w:p>
        </w:tc>
        <w:tc>
          <w:tcPr>
            <w:tcW w:type="dxa" w:w="6978"/>
            <w:shd w:fill="FAFAFA"/>
          </w:tcPr>
          <w:p>
            <w:pPr>
              <w:jc w:val="left"/>
            </w:pPr>
            <w:r>
              <w:rPr>
                <w:rFonts w:ascii="Arial" w:hAnsi="Arial"/>
                <w:color w:val="161616"/>
                <w:sz w:val="17"/>
              </w:rPr>
              <w:t>Are reporting dimensions complete and allocations documented?</w:t>
            </w:r>
          </w:p>
        </w:tc>
      </w:tr>
    </w:tbl>
    <w:p>
      <w:pPr>
        <w:spacing w:after="0"/>
      </w:pPr>
    </w:p>
    <w:p>
      <w:pPr>
        <w:spacing w:after="120"/>
      </w:pPr>
      <w:r>
        <w:rPr>
          <w:rFonts w:ascii="Arial" w:hAnsi="Arial"/>
          <w:i w:val="0"/>
          <w:color w:val="161616"/>
          <w:sz w:val="22"/>
        </w:rPr>
        <w:t>Consolidated Books provides a company-wide document view across divisions, with document previews and downloadable PDFs where available. Use it to trace bills, receipts, payments and postings without switching repeatedly between source modules.</w:t>
      </w:r>
    </w:p>
    <w:p>
      <w:pPr>
        <w:pStyle w:val="Heading1"/>
      </w:pPr>
      <w:r>
        <w:t>15. Audit trail and control evidence</w:t>
      </w:r>
    </w:p>
    <w:p>
      <w:pPr>
        <w:spacing w:after="120"/>
      </w:pPr>
      <w:r>
        <w:rPr>
          <w:rFonts w:ascii="Arial" w:hAnsi="Arial"/>
          <w:i w:val="0"/>
          <w:color w:val="161616"/>
          <w:sz w:val="22"/>
        </w:rPr>
        <w:t>Audit Events is the investigation workspace. Search by event, actor, source document, financial document or journal reference. Each event records when it occurred, who performed it and the metadata available for that action.</w:t>
      </w:r>
    </w:p>
    <w:p>
      <w:pPr>
        <w:spacing w:after="120"/>
      </w:pPr>
      <w:r>
        <w:rPr>
          <w:rFonts w:ascii="Arial" w:hAnsi="Arial"/>
          <w:i w:val="0"/>
          <w:color w:val="161616"/>
          <w:sz w:val="22"/>
        </w:rPr>
        <w:t>The Auditor Workspace can maintain audit requests and maker-checker/control evidence. Requests include request number, year, area, title, due date, status and description. Control evidence records control code/area, period, entity, maker/checker actions and evidence status.</w:t>
      </w:r>
    </w:p>
    <w:tbl>
      <w:tblPr>
        <w:tblStyle w:val="TableGrid"/>
        <w:tblW w:type="dxa" w:w="9378"/>
        <w:jc w:val="left"/>
        <w:tblLayout w:type="fixed"/>
        <w:tblLook w:firstColumn="1" w:firstRow="1" w:lastColumn="0" w:lastRow="0" w:noHBand="0" w:noVBand="1" w:val="04A0"/>
        <w:tblInd w:w="120" w:type="dxa"/>
      </w:tblPr>
      <w:tblGrid>
        <w:gridCol w:w="2200"/>
        <w:gridCol w:w="7178"/>
      </w:tblGrid>
      <w:tr>
        <w:trPr>
          <w:tblHeader w:val="true"/>
        </w:trPr>
        <w:tc>
          <w:tcPr>
            <w:tcW w:type="dxa" w:w="2200"/>
            <w:tcMar>
              <w:top w:w="100" w:type="dxa"/>
              <w:start w:w="120" w:type="dxa"/>
              <w:bottom w:w="100" w:type="dxa"/>
              <w:end w:w="120" w:type="dxa"/>
            </w:tcMar>
            <w:vAlign w:val="center"/>
            <w:shd w:fill="161616"/>
          </w:tcPr>
          <w:p>
            <w:pPr>
              <w:jc w:val="center"/>
            </w:pPr>
            <w:r>
              <w:rPr>
                <w:rFonts w:ascii="Arial" w:hAnsi="Arial"/>
                <w:b/>
                <w:color w:val="FFFFFF"/>
                <w:sz w:val="18"/>
              </w:rPr>
              <w:t>Evidence status</w:t>
            </w:r>
          </w:p>
        </w:tc>
        <w:tc>
          <w:tcPr>
            <w:tcW w:type="dxa" w:w="7178"/>
            <w:tcMar>
              <w:top w:w="100" w:type="dxa"/>
              <w:start w:w="120" w:type="dxa"/>
              <w:bottom w:w="100" w:type="dxa"/>
              <w:end w:w="120" w:type="dxa"/>
            </w:tcMar>
            <w:vAlign w:val="center"/>
            <w:shd w:fill="161616"/>
          </w:tcPr>
          <w:p>
            <w:pPr>
              <w:jc w:val="center"/>
            </w:pPr>
            <w:r>
              <w:rPr>
                <w:rFonts w:ascii="Arial" w:hAnsi="Arial"/>
                <w:b/>
                <w:color w:val="FFFFFF"/>
                <w:sz w:val="18"/>
              </w:rPr>
              <w:t>Meaning</w:t>
            </w:r>
          </w:p>
        </w:tc>
      </w:tr>
      <w:tr>
        <w:tc>
          <w:tcPr>
            <w:tcW w:type="dxa" w:w="2200"/>
          </w:tcPr>
          <w:p>
            <w:pPr>
              <w:jc w:val="center"/>
            </w:pPr>
            <w:r>
              <w:rPr>
                <w:rFonts w:ascii="Arial" w:hAnsi="Arial"/>
                <w:color w:val="161616"/>
                <w:sz w:val="18"/>
              </w:rPr>
              <w:t>captured</w:t>
            </w:r>
          </w:p>
        </w:tc>
        <w:tc>
          <w:tcPr>
            <w:tcW w:type="dxa" w:w="7178"/>
          </w:tcPr>
          <w:p>
            <w:pPr>
              <w:jc w:val="left"/>
            </w:pPr>
            <w:r>
              <w:rPr>
                <w:rFonts w:ascii="Arial" w:hAnsi="Arial"/>
                <w:color w:val="161616"/>
                <w:sz w:val="18"/>
              </w:rPr>
              <w:t>Evidence has been recorded but may still require review.</w:t>
            </w:r>
          </w:p>
        </w:tc>
      </w:tr>
      <w:tr>
        <w:tc>
          <w:tcPr>
            <w:tcW w:type="dxa" w:w="2200"/>
            <w:shd w:fill="FAFAFA"/>
          </w:tcPr>
          <w:p>
            <w:pPr>
              <w:jc w:val="center"/>
            </w:pPr>
            <w:r>
              <w:rPr>
                <w:rFonts w:ascii="Arial" w:hAnsi="Arial"/>
                <w:color w:val="161616"/>
                <w:sz w:val="18"/>
              </w:rPr>
              <w:t>exception</w:t>
            </w:r>
          </w:p>
        </w:tc>
        <w:tc>
          <w:tcPr>
            <w:tcW w:type="dxa" w:w="7178"/>
            <w:shd w:fill="FAFAFA"/>
          </w:tcPr>
          <w:p>
            <w:pPr>
              <w:jc w:val="left"/>
            </w:pPr>
            <w:r>
              <w:rPr>
                <w:rFonts w:ascii="Arial" w:hAnsi="Arial"/>
                <w:color w:val="161616"/>
                <w:sz w:val="18"/>
              </w:rPr>
              <w:t>A control failure, missing evidence or unexplained condition requires action.</w:t>
            </w:r>
          </w:p>
        </w:tc>
      </w:tr>
      <w:tr>
        <w:tc>
          <w:tcPr>
            <w:tcW w:type="dxa" w:w="2200"/>
          </w:tcPr>
          <w:p>
            <w:pPr>
              <w:jc w:val="center"/>
            </w:pPr>
            <w:r>
              <w:rPr>
                <w:rFonts w:ascii="Arial" w:hAnsi="Arial"/>
                <w:color w:val="161616"/>
                <w:sz w:val="18"/>
              </w:rPr>
              <w:t>reviewed</w:t>
            </w:r>
          </w:p>
        </w:tc>
        <w:tc>
          <w:tcPr>
            <w:tcW w:type="dxa" w:w="7178"/>
          </w:tcPr>
          <w:p>
            <w:pPr>
              <w:jc w:val="left"/>
            </w:pPr>
            <w:r>
              <w:rPr>
                <w:rFonts w:ascii="Arial" w:hAnsi="Arial"/>
                <w:color w:val="161616"/>
                <w:sz w:val="18"/>
              </w:rPr>
              <w:t>An authorised reviewer has examined the evidence.</w:t>
            </w:r>
          </w:p>
        </w:tc>
      </w:tr>
      <w:tr>
        <w:tc>
          <w:tcPr>
            <w:tcW w:type="dxa" w:w="2200"/>
            <w:shd w:fill="FAFAFA"/>
          </w:tcPr>
          <w:p>
            <w:pPr>
              <w:jc w:val="center"/>
            </w:pPr>
            <w:r>
              <w:rPr>
                <w:rFonts w:ascii="Arial" w:hAnsi="Arial"/>
                <w:color w:val="161616"/>
                <w:sz w:val="18"/>
              </w:rPr>
              <w:t>remediated</w:t>
            </w:r>
          </w:p>
        </w:tc>
        <w:tc>
          <w:tcPr>
            <w:tcW w:type="dxa" w:w="7178"/>
            <w:shd w:fill="FAFAFA"/>
          </w:tcPr>
          <w:p>
            <w:pPr>
              <w:jc w:val="left"/>
            </w:pPr>
            <w:r>
              <w:rPr>
                <w:rFonts w:ascii="Arial" w:hAnsi="Arial"/>
                <w:color w:val="161616"/>
                <w:sz w:val="18"/>
              </w:rPr>
              <w:t>The exception was corrected and the resolution is documented.</w:t>
            </w:r>
          </w:p>
        </w:tc>
      </w:tr>
    </w:tbl>
    <w:p>
      <w:pPr>
        <w:spacing w:after="0"/>
      </w:pPr>
    </w:p>
    <w:tbl>
      <w:tblPr>
        <w:tblW w:type="dxa" w:w="9878"/>
        <w:jc w:val="left"/>
        <w:tblLayout w:type="fixed"/>
        <w:tblLook w:firstColumn="1" w:firstRow="1" w:lastColumn="0" w:lastRow="0" w:noHBand="0" w:noVBand="1" w:val="04A0"/>
        <w:tblInd w:w="0" w:type="dxa"/>
      </w:tblPr>
      <w:tblGrid>
        <w:gridCol w:w="9878"/>
      </w:tblGrid>
      <w:tr>
        <w:tc>
          <w:tcPr>
            <w:tcW w:type="dxa" w:w="9878"/>
            <w:tcMar>
              <w:top w:w="100" w:type="dxa"/>
              <w:start w:w="120" w:type="dxa"/>
              <w:bottom w:w="100" w:type="dxa"/>
              <w:end w:w="120" w:type="dxa"/>
            </w:tcMar>
            <w:vAlign w:val="center"/>
            <w:shd w:fill="F7F1E2"/>
          </w:tcPr>
          <w:p>
            <w:pPr>
              <w:spacing w:after="60"/>
            </w:pPr>
            <w:r>
              <w:rPr>
                <w:rFonts w:ascii="Arial" w:hAnsi="Arial"/>
                <w:b/>
                <w:color w:val="7B5B19"/>
                <w:sz w:val="21"/>
              </w:rPr>
              <w:t>Good narration test</w:t>
            </w:r>
          </w:p>
          <w:p>
            <w:pPr>
              <w:spacing w:after="0"/>
            </w:pPr>
            <w:r>
              <w:rPr>
                <w:rFonts w:ascii="Arial" w:hAnsi="Arial"/>
                <w:color w:val="161616"/>
                <w:sz w:val="19"/>
              </w:rPr>
              <w:t>A reviewer unfamiliar with the transaction should be able to understand what happened, why it was authorised, which source supports it, who checked it and how the final balance was verified.</w:t>
            </w:r>
          </w:p>
        </w:tc>
      </w:tr>
    </w:tbl>
    <w:p>
      <w:pPr>
        <w:spacing w:after="0"/>
      </w:pPr>
    </w:p>
    <w:p>
      <w:pPr>
        <w:pStyle w:val="Heading1"/>
      </w:pPr>
      <w:r>
        <w:t>16. Month-end operating checklist</w:t>
      </w:r>
    </w:p>
    <w:tbl>
      <w:tblPr>
        <w:tblStyle w:val="TableGrid"/>
        <w:tblW w:type="dxa" w:w="9378"/>
        <w:jc w:val="left"/>
        <w:tblLayout w:type="fixed"/>
        <w:tblLook w:firstColumn="1" w:firstRow="1" w:lastColumn="0" w:lastRow="0" w:noHBand="0" w:noVBand="1" w:val="04A0"/>
        <w:tblInd w:w="120" w:type="dxa"/>
      </w:tblPr>
      <w:tblGrid>
        <w:gridCol w:w="600"/>
        <w:gridCol w:w="2350"/>
        <w:gridCol w:w="6428"/>
      </w:tblGrid>
      <w:tr>
        <w:trPr>
          <w:tblHeader w:val="true"/>
        </w:trPr>
        <w:tc>
          <w:tcPr>
            <w:tcW w:type="dxa" w:w="600"/>
            <w:tcMar>
              <w:top w:w="100" w:type="dxa"/>
              <w:start w:w="120" w:type="dxa"/>
              <w:bottom w:w="100" w:type="dxa"/>
              <w:end w:w="120" w:type="dxa"/>
            </w:tcMar>
            <w:vAlign w:val="center"/>
            <w:shd w:fill="161616"/>
          </w:tcPr>
          <w:p>
            <w:pPr>
              <w:jc w:val="center"/>
            </w:pPr>
            <w:r>
              <w:rPr>
                <w:rFonts w:ascii="Arial" w:hAnsi="Arial"/>
                <w:b/>
                <w:color w:val="FFFFFF"/>
                <w:sz w:val="17"/>
              </w:rPr>
              <w:t>#</w:t>
            </w:r>
          </w:p>
        </w:tc>
        <w:tc>
          <w:tcPr>
            <w:tcW w:type="dxa" w:w="2350"/>
            <w:tcMar>
              <w:top w:w="100" w:type="dxa"/>
              <w:start w:w="120" w:type="dxa"/>
              <w:bottom w:w="100" w:type="dxa"/>
              <w:end w:w="120" w:type="dxa"/>
            </w:tcMar>
            <w:vAlign w:val="center"/>
            <w:shd w:fill="161616"/>
          </w:tcPr>
          <w:p>
            <w:pPr>
              <w:jc w:val="center"/>
            </w:pPr>
            <w:r>
              <w:rPr>
                <w:rFonts w:ascii="Arial" w:hAnsi="Arial"/>
                <w:b/>
                <w:color w:val="FFFFFF"/>
                <w:sz w:val="17"/>
              </w:rPr>
              <w:t>Check</w:t>
            </w:r>
          </w:p>
        </w:tc>
        <w:tc>
          <w:tcPr>
            <w:tcW w:type="dxa" w:w="6428"/>
            <w:tcMar>
              <w:top w:w="100" w:type="dxa"/>
              <w:start w:w="120" w:type="dxa"/>
              <w:bottom w:w="100" w:type="dxa"/>
              <w:end w:w="120" w:type="dxa"/>
            </w:tcMar>
            <w:vAlign w:val="center"/>
            <w:shd w:fill="161616"/>
          </w:tcPr>
          <w:p>
            <w:pPr>
              <w:jc w:val="center"/>
            </w:pPr>
            <w:r>
              <w:rPr>
                <w:rFonts w:ascii="Arial" w:hAnsi="Arial"/>
                <w:b/>
                <w:color w:val="FFFFFF"/>
                <w:sz w:val="17"/>
              </w:rPr>
              <w:t>Completion standard</w:t>
            </w:r>
          </w:p>
        </w:tc>
      </w:tr>
      <w:tr>
        <w:tc>
          <w:tcPr>
            <w:tcW w:type="dxa" w:w="600"/>
          </w:tcPr>
          <w:p>
            <w:pPr>
              <w:jc w:val="center"/>
            </w:pPr>
            <w:r>
              <w:rPr>
                <w:rFonts w:ascii="Arial" w:hAnsi="Arial"/>
                <w:color w:val="161616"/>
                <w:sz w:val="17"/>
              </w:rPr>
              <w:t>1</w:t>
            </w:r>
          </w:p>
        </w:tc>
        <w:tc>
          <w:tcPr>
            <w:tcW w:type="dxa" w:w="2350"/>
          </w:tcPr>
          <w:p>
            <w:pPr>
              <w:jc w:val="left"/>
            </w:pPr>
            <w:r>
              <w:rPr>
                <w:rFonts w:ascii="Arial" w:hAnsi="Arial"/>
                <w:color w:val="161616"/>
                <w:sz w:val="17"/>
              </w:rPr>
              <w:t>Cut-off confirmed</w:t>
            </w:r>
          </w:p>
        </w:tc>
        <w:tc>
          <w:tcPr>
            <w:tcW w:type="dxa" w:w="6428"/>
          </w:tcPr>
          <w:p>
            <w:pPr>
              <w:jc w:val="left"/>
            </w:pPr>
            <w:r>
              <w:rPr>
                <w:rFonts w:ascii="Arial" w:hAnsi="Arial"/>
                <w:color w:val="161616"/>
                <w:sz w:val="17"/>
              </w:rPr>
              <w:t>All divisions have submitted approved transactions for the period; late items are identified.</w:t>
            </w:r>
          </w:p>
        </w:tc>
      </w:tr>
      <w:tr>
        <w:tc>
          <w:tcPr>
            <w:tcW w:type="dxa" w:w="600"/>
            <w:shd w:fill="FAFAFA"/>
          </w:tcPr>
          <w:p>
            <w:pPr>
              <w:jc w:val="center"/>
            </w:pPr>
            <w:r>
              <w:rPr>
                <w:rFonts w:ascii="Arial" w:hAnsi="Arial"/>
                <w:color w:val="161616"/>
                <w:sz w:val="17"/>
              </w:rPr>
              <w:t>2</w:t>
            </w:r>
          </w:p>
        </w:tc>
        <w:tc>
          <w:tcPr>
            <w:tcW w:type="dxa" w:w="2350"/>
            <w:shd w:fill="FAFAFA"/>
          </w:tcPr>
          <w:p>
            <w:pPr>
              <w:jc w:val="left"/>
            </w:pPr>
            <w:r>
              <w:rPr>
                <w:rFonts w:ascii="Arial" w:hAnsi="Arial"/>
                <w:color w:val="161616"/>
                <w:sz w:val="17"/>
              </w:rPr>
              <w:t>Posting queue cleared</w:t>
            </w:r>
          </w:p>
        </w:tc>
        <w:tc>
          <w:tcPr>
            <w:tcW w:type="dxa" w:w="6428"/>
            <w:shd w:fill="FAFAFA"/>
          </w:tcPr>
          <w:p>
            <w:pPr>
              <w:jc w:val="left"/>
            </w:pPr>
            <w:r>
              <w:rPr>
                <w:rFonts w:ascii="Arial" w:hAnsi="Arial"/>
                <w:color w:val="161616"/>
                <w:sz w:val="17"/>
              </w:rPr>
              <w:t>Ready/processing/failed items are posted or documented with owner and resolution date.</w:t>
            </w:r>
          </w:p>
        </w:tc>
      </w:tr>
      <w:tr>
        <w:tc>
          <w:tcPr>
            <w:tcW w:type="dxa" w:w="600"/>
          </w:tcPr>
          <w:p>
            <w:pPr>
              <w:jc w:val="center"/>
            </w:pPr>
            <w:r>
              <w:rPr>
                <w:rFonts w:ascii="Arial" w:hAnsi="Arial"/>
                <w:color w:val="161616"/>
                <w:sz w:val="17"/>
              </w:rPr>
              <w:t>3</w:t>
            </w:r>
          </w:p>
        </w:tc>
        <w:tc>
          <w:tcPr>
            <w:tcW w:type="dxa" w:w="2350"/>
          </w:tcPr>
          <w:p>
            <w:pPr>
              <w:jc w:val="left"/>
            </w:pPr>
            <w:r>
              <w:rPr>
                <w:rFonts w:ascii="Arial" w:hAnsi="Arial"/>
                <w:color w:val="161616"/>
                <w:sz w:val="17"/>
              </w:rPr>
              <w:t>Journals reviewed</w:t>
            </w:r>
          </w:p>
        </w:tc>
        <w:tc>
          <w:tcPr>
            <w:tcW w:type="dxa" w:w="6428"/>
          </w:tcPr>
          <w:p>
            <w:pPr>
              <w:jc w:val="left"/>
            </w:pPr>
            <w:r>
              <w:rPr>
                <w:rFonts w:ascii="Arial" w:hAnsi="Arial"/>
                <w:color w:val="161616"/>
                <w:sz w:val="17"/>
              </w:rPr>
              <w:t>Automated and manual entries are balanced, referenced and approved.</w:t>
            </w:r>
          </w:p>
        </w:tc>
      </w:tr>
      <w:tr>
        <w:tc>
          <w:tcPr>
            <w:tcW w:type="dxa" w:w="600"/>
            <w:shd w:fill="FAFAFA"/>
          </w:tcPr>
          <w:p>
            <w:pPr>
              <w:jc w:val="center"/>
            </w:pPr>
            <w:r>
              <w:rPr>
                <w:rFonts w:ascii="Arial" w:hAnsi="Arial"/>
                <w:color w:val="161616"/>
                <w:sz w:val="17"/>
              </w:rPr>
              <w:t>4</w:t>
            </w:r>
          </w:p>
        </w:tc>
        <w:tc>
          <w:tcPr>
            <w:tcW w:type="dxa" w:w="2350"/>
            <w:shd w:fill="FAFAFA"/>
          </w:tcPr>
          <w:p>
            <w:pPr>
              <w:jc w:val="left"/>
            </w:pPr>
            <w:r>
              <w:rPr>
                <w:rFonts w:ascii="Arial" w:hAnsi="Arial"/>
                <w:color w:val="161616"/>
                <w:sz w:val="17"/>
              </w:rPr>
              <w:t>AR/AP reconciled</w:t>
            </w:r>
          </w:p>
        </w:tc>
        <w:tc>
          <w:tcPr>
            <w:tcW w:type="dxa" w:w="6428"/>
            <w:shd w:fill="FAFAFA"/>
          </w:tcPr>
          <w:p>
            <w:pPr>
              <w:jc w:val="left"/>
            </w:pPr>
            <w:r>
              <w:rPr>
                <w:rFonts w:ascii="Arial" w:hAnsi="Arial"/>
                <w:color w:val="161616"/>
                <w:sz w:val="17"/>
              </w:rPr>
              <w:t>Working books agree with control accounts and aging exceptions are assigned.</w:t>
            </w:r>
          </w:p>
        </w:tc>
      </w:tr>
      <w:tr>
        <w:tc>
          <w:tcPr>
            <w:tcW w:type="dxa" w:w="600"/>
          </w:tcPr>
          <w:p>
            <w:pPr>
              <w:jc w:val="center"/>
            </w:pPr>
            <w:r>
              <w:rPr>
                <w:rFonts w:ascii="Arial" w:hAnsi="Arial"/>
                <w:color w:val="161616"/>
                <w:sz w:val="17"/>
              </w:rPr>
              <w:t>5</w:t>
            </w:r>
          </w:p>
        </w:tc>
        <w:tc>
          <w:tcPr>
            <w:tcW w:type="dxa" w:w="2350"/>
          </w:tcPr>
          <w:p>
            <w:pPr>
              <w:jc w:val="left"/>
            </w:pPr>
            <w:r>
              <w:rPr>
                <w:rFonts w:ascii="Arial" w:hAnsi="Arial"/>
                <w:color w:val="161616"/>
                <w:sz w:val="17"/>
              </w:rPr>
              <w:t>Bank reconciled</w:t>
            </w:r>
          </w:p>
        </w:tc>
        <w:tc>
          <w:tcPr>
            <w:tcW w:type="dxa" w:w="6428"/>
          </w:tcPr>
          <w:p>
            <w:pPr>
              <w:jc w:val="left"/>
            </w:pPr>
            <w:r>
              <w:rPr>
                <w:rFonts w:ascii="Arial" w:hAnsi="Arial"/>
                <w:color w:val="161616"/>
                <w:sz w:val="17"/>
              </w:rPr>
              <w:t>All accounts reconcile; unmatched items and adjustments are evidenced.</w:t>
            </w:r>
          </w:p>
        </w:tc>
      </w:tr>
      <w:tr>
        <w:tc>
          <w:tcPr>
            <w:tcW w:type="dxa" w:w="600"/>
            <w:shd w:fill="FAFAFA"/>
          </w:tcPr>
          <w:p>
            <w:pPr>
              <w:jc w:val="center"/>
            </w:pPr>
            <w:r>
              <w:rPr>
                <w:rFonts w:ascii="Arial" w:hAnsi="Arial"/>
                <w:color w:val="161616"/>
                <w:sz w:val="17"/>
              </w:rPr>
              <w:t>6</w:t>
            </w:r>
          </w:p>
        </w:tc>
        <w:tc>
          <w:tcPr>
            <w:tcW w:type="dxa" w:w="2350"/>
            <w:shd w:fill="FAFAFA"/>
          </w:tcPr>
          <w:p>
            <w:pPr>
              <w:jc w:val="left"/>
            </w:pPr>
            <w:r>
              <w:rPr>
                <w:rFonts w:ascii="Arial" w:hAnsi="Arial"/>
                <w:color w:val="161616"/>
                <w:sz w:val="17"/>
              </w:rPr>
              <w:t>GST/TDS reconciled</w:t>
            </w:r>
          </w:p>
        </w:tc>
        <w:tc>
          <w:tcPr>
            <w:tcW w:type="dxa" w:w="6428"/>
            <w:shd w:fill="FAFAFA"/>
          </w:tcPr>
          <w:p>
            <w:pPr>
              <w:jc w:val="left"/>
            </w:pPr>
            <w:r>
              <w:rPr>
                <w:rFonts w:ascii="Arial" w:hAnsi="Arial"/>
                <w:color w:val="161616"/>
                <w:sz w:val="17"/>
              </w:rPr>
              <w:t>Registers, returns, challans, ITC and exceptions are reviewed.</w:t>
            </w:r>
          </w:p>
        </w:tc>
      </w:tr>
      <w:tr>
        <w:tc>
          <w:tcPr>
            <w:tcW w:type="dxa" w:w="600"/>
          </w:tcPr>
          <w:p>
            <w:pPr>
              <w:jc w:val="center"/>
            </w:pPr>
            <w:r>
              <w:rPr>
                <w:rFonts w:ascii="Arial" w:hAnsi="Arial"/>
                <w:color w:val="161616"/>
                <w:sz w:val="17"/>
              </w:rPr>
              <w:t>7</w:t>
            </w:r>
          </w:p>
        </w:tc>
        <w:tc>
          <w:tcPr>
            <w:tcW w:type="dxa" w:w="2350"/>
          </w:tcPr>
          <w:p>
            <w:pPr>
              <w:jc w:val="left"/>
            </w:pPr>
            <w:r>
              <w:rPr>
                <w:rFonts w:ascii="Arial" w:hAnsi="Arial"/>
                <w:color w:val="161616"/>
                <w:sz w:val="17"/>
              </w:rPr>
              <w:t>Assets completed</w:t>
            </w:r>
          </w:p>
        </w:tc>
        <w:tc>
          <w:tcPr>
            <w:tcW w:type="dxa" w:w="6428"/>
          </w:tcPr>
          <w:p>
            <w:pPr>
              <w:jc w:val="left"/>
            </w:pPr>
            <w:r>
              <w:rPr>
                <w:rFonts w:ascii="Arial" w:hAnsi="Arial"/>
                <w:color w:val="161616"/>
                <w:sz w:val="17"/>
              </w:rPr>
              <w:t>Additions, disposals, transfers and depreciation are posted.</w:t>
            </w:r>
          </w:p>
        </w:tc>
      </w:tr>
      <w:tr>
        <w:tc>
          <w:tcPr>
            <w:tcW w:type="dxa" w:w="600"/>
            <w:shd w:fill="FAFAFA"/>
          </w:tcPr>
          <w:p>
            <w:pPr>
              <w:jc w:val="center"/>
            </w:pPr>
            <w:r>
              <w:rPr>
                <w:rFonts w:ascii="Arial" w:hAnsi="Arial"/>
                <w:color w:val="161616"/>
                <w:sz w:val="17"/>
              </w:rPr>
              <w:t>8</w:t>
            </w:r>
          </w:p>
        </w:tc>
        <w:tc>
          <w:tcPr>
            <w:tcW w:type="dxa" w:w="2350"/>
            <w:shd w:fill="FAFAFA"/>
          </w:tcPr>
          <w:p>
            <w:pPr>
              <w:jc w:val="left"/>
            </w:pPr>
            <w:r>
              <w:rPr>
                <w:rFonts w:ascii="Arial" w:hAnsi="Arial"/>
                <w:color w:val="161616"/>
                <w:sz w:val="17"/>
              </w:rPr>
              <w:t>Management review</w:t>
            </w:r>
          </w:p>
        </w:tc>
        <w:tc>
          <w:tcPr>
            <w:tcW w:type="dxa" w:w="6428"/>
            <w:shd w:fill="FAFAFA"/>
          </w:tcPr>
          <w:p>
            <w:pPr>
              <w:jc w:val="left"/>
            </w:pPr>
            <w:r>
              <w:rPr>
                <w:rFonts w:ascii="Arial" w:hAnsi="Arial"/>
                <w:color w:val="161616"/>
                <w:sz w:val="17"/>
              </w:rPr>
              <w:t>Trial balance, P&amp;L, balance sheet and division results are reviewed.</w:t>
            </w:r>
          </w:p>
        </w:tc>
      </w:tr>
      <w:tr>
        <w:tc>
          <w:tcPr>
            <w:tcW w:type="dxa" w:w="600"/>
          </w:tcPr>
          <w:p>
            <w:pPr>
              <w:jc w:val="center"/>
            </w:pPr>
            <w:r>
              <w:rPr>
                <w:rFonts w:ascii="Arial" w:hAnsi="Arial"/>
                <w:color w:val="161616"/>
                <w:sz w:val="17"/>
              </w:rPr>
              <w:t>9</w:t>
            </w:r>
          </w:p>
        </w:tc>
        <w:tc>
          <w:tcPr>
            <w:tcW w:type="dxa" w:w="2350"/>
          </w:tcPr>
          <w:p>
            <w:pPr>
              <w:jc w:val="left"/>
            </w:pPr>
            <w:r>
              <w:rPr>
                <w:rFonts w:ascii="Arial" w:hAnsi="Arial"/>
                <w:color w:val="161616"/>
                <w:sz w:val="17"/>
              </w:rPr>
              <w:t>Evidence archived</w:t>
            </w:r>
          </w:p>
        </w:tc>
        <w:tc>
          <w:tcPr>
            <w:tcW w:type="dxa" w:w="6428"/>
          </w:tcPr>
          <w:p>
            <w:pPr>
              <w:jc w:val="left"/>
            </w:pPr>
            <w:r>
              <w:rPr>
                <w:rFonts w:ascii="Arial" w:hAnsi="Arial"/>
                <w:color w:val="161616"/>
                <w:sz w:val="17"/>
              </w:rPr>
              <w:t>Close tasks contain links/references to support and reviewer sign-off.</w:t>
            </w:r>
          </w:p>
        </w:tc>
      </w:tr>
      <w:tr>
        <w:tc>
          <w:tcPr>
            <w:tcW w:type="dxa" w:w="600"/>
            <w:shd w:fill="FAFAFA"/>
          </w:tcPr>
          <w:p>
            <w:pPr>
              <w:jc w:val="center"/>
            </w:pPr>
            <w:r>
              <w:rPr>
                <w:rFonts w:ascii="Arial" w:hAnsi="Arial"/>
                <w:color w:val="161616"/>
                <w:sz w:val="17"/>
              </w:rPr>
              <w:t>10</w:t>
            </w:r>
          </w:p>
        </w:tc>
        <w:tc>
          <w:tcPr>
            <w:tcW w:type="dxa" w:w="2350"/>
            <w:shd w:fill="FAFAFA"/>
          </w:tcPr>
          <w:p>
            <w:pPr>
              <w:jc w:val="left"/>
            </w:pPr>
            <w:r>
              <w:rPr>
                <w:rFonts w:ascii="Arial" w:hAnsi="Arial"/>
                <w:color w:val="161616"/>
                <w:sz w:val="17"/>
              </w:rPr>
              <w:t>Period controlled</w:t>
            </w:r>
          </w:p>
        </w:tc>
        <w:tc>
          <w:tcPr>
            <w:tcW w:type="dxa" w:w="6428"/>
            <w:shd w:fill="FAFAFA"/>
          </w:tcPr>
          <w:p>
            <w:pPr>
              <w:jc w:val="left"/>
            </w:pPr>
            <w:r>
              <w:rPr>
                <w:rFonts w:ascii="Arial" w:hAnsi="Arial"/>
                <w:color w:val="161616"/>
                <w:sz w:val="17"/>
              </w:rPr>
              <w:t>Checklist is ready for review and lock/close is performed by an authorised approver.</w:t>
            </w:r>
          </w:p>
        </w:tc>
      </w:tr>
    </w:tbl>
    <w:p>
      <w:pPr>
        <w:spacing w:after="0"/>
      </w:pPr>
    </w:p>
    <w:tbl>
      <w:tblPr>
        <w:tblW w:type="dxa" w:w="9878"/>
        <w:jc w:val="left"/>
        <w:tblLayout w:type="fixed"/>
        <w:tblLook w:firstColumn="1" w:firstRow="1" w:lastColumn="0" w:lastRow="0" w:noHBand="0" w:noVBand="1" w:val="04A0"/>
        <w:tblInd w:w="0" w:type="dxa"/>
      </w:tblPr>
      <w:tblGrid>
        <w:gridCol w:w="9878"/>
      </w:tblGrid>
      <w:tr>
        <w:tc>
          <w:tcPr>
            <w:tcW w:type="dxa" w:w="9878"/>
            <w:tcMar>
              <w:top w:w="100" w:type="dxa"/>
              <w:start w:w="120" w:type="dxa"/>
              <w:bottom w:w="100" w:type="dxa"/>
              <w:end w:w="120" w:type="dxa"/>
            </w:tcMar>
            <w:vAlign w:val="center"/>
            <w:shd w:fill="FCECEC"/>
          </w:tcPr>
          <w:p>
            <w:pPr>
              <w:spacing w:after="60"/>
            </w:pPr>
            <w:r>
              <w:rPr>
                <w:rFonts w:ascii="Arial" w:hAnsi="Arial"/>
                <w:b/>
                <w:color w:val="9B1C1C"/>
                <w:sz w:val="21"/>
              </w:rPr>
              <w:t>Reopening a close</w:t>
            </w:r>
          </w:p>
          <w:p>
            <w:pPr>
              <w:spacing w:after="0"/>
            </w:pPr>
            <w:r>
              <w:rPr>
                <w:rFonts w:ascii="Arial" w:hAnsi="Arial"/>
                <w:color w:val="161616"/>
                <w:sz w:val="19"/>
              </w:rPr>
              <w:t>Reopen only when a material correction is required. Record the reason, responsible approver, affected entries and the checks repeated after correction.</w:t>
            </w:r>
          </w:p>
        </w:tc>
      </w:tr>
    </w:tbl>
    <w:p>
      <w:pPr>
        <w:spacing w:after="0"/>
      </w:pPr>
    </w:p>
    <w:p>
      <w:pPr>
        <w:pStyle w:val="Heading1"/>
      </w:pPr>
      <w:r>
        <w:t>17. Troubleshooting and common mistakes</w:t>
      </w:r>
    </w:p>
    <w:tbl>
      <w:tblPr>
        <w:tblStyle w:val="TableGrid"/>
        <w:tblW w:type="dxa" w:w="9378"/>
        <w:jc w:val="left"/>
        <w:tblLayout w:type="fixed"/>
        <w:tblLook w:firstColumn="1" w:firstRow="1" w:lastColumn="0" w:lastRow="0" w:noHBand="0" w:noVBand="1" w:val="04A0"/>
        <w:tblInd w:w="120" w:type="dxa"/>
      </w:tblPr>
      <w:tblGrid>
        <w:gridCol w:w="2150"/>
        <w:gridCol w:w="3250"/>
        <w:gridCol w:w="3978"/>
      </w:tblGrid>
      <w:tr>
        <w:trPr>
          <w:tblHeader w:val="true"/>
        </w:trPr>
        <w:tc>
          <w:tcPr>
            <w:tcW w:type="dxa" w:w="2150"/>
            <w:tcMar>
              <w:top w:w="100" w:type="dxa"/>
              <w:start w:w="120" w:type="dxa"/>
              <w:bottom w:w="100" w:type="dxa"/>
              <w:end w:w="120" w:type="dxa"/>
            </w:tcMar>
            <w:vAlign w:val="center"/>
            <w:shd w:fill="161616"/>
          </w:tcPr>
          <w:p>
            <w:pPr>
              <w:jc w:val="center"/>
            </w:pPr>
            <w:r>
              <w:rPr>
                <w:rFonts w:ascii="Arial" w:hAnsi="Arial"/>
                <w:b/>
                <w:color w:val="FFFFFF"/>
                <w:sz w:val="16"/>
              </w:rPr>
              <w:t>Problem</w:t>
            </w:r>
          </w:p>
        </w:tc>
        <w:tc>
          <w:tcPr>
            <w:tcW w:type="dxa" w:w="3250"/>
            <w:tcMar>
              <w:top w:w="100" w:type="dxa"/>
              <w:start w:w="120" w:type="dxa"/>
              <w:bottom w:w="100" w:type="dxa"/>
              <w:end w:w="120" w:type="dxa"/>
            </w:tcMar>
            <w:vAlign w:val="center"/>
            <w:shd w:fill="161616"/>
          </w:tcPr>
          <w:p>
            <w:pPr>
              <w:jc w:val="center"/>
            </w:pPr>
            <w:r>
              <w:rPr>
                <w:rFonts w:ascii="Arial" w:hAnsi="Arial"/>
                <w:b/>
                <w:color w:val="FFFFFF"/>
                <w:sz w:val="16"/>
              </w:rPr>
              <w:t>Likely cause</w:t>
            </w:r>
          </w:p>
        </w:tc>
        <w:tc>
          <w:tcPr>
            <w:tcW w:type="dxa" w:w="3978"/>
            <w:tcMar>
              <w:top w:w="100" w:type="dxa"/>
              <w:start w:w="120" w:type="dxa"/>
              <w:bottom w:w="100" w:type="dxa"/>
              <w:end w:w="120" w:type="dxa"/>
            </w:tcMar>
            <w:vAlign w:val="center"/>
            <w:shd w:fill="161616"/>
          </w:tcPr>
          <w:p>
            <w:pPr>
              <w:jc w:val="center"/>
            </w:pPr>
            <w:r>
              <w:rPr>
                <w:rFonts w:ascii="Arial" w:hAnsi="Arial"/>
                <w:b/>
                <w:color w:val="FFFFFF"/>
                <w:sz w:val="16"/>
              </w:rPr>
              <w:t>What to do</w:t>
            </w:r>
          </w:p>
        </w:tc>
      </w:tr>
      <w:tr>
        <w:tc>
          <w:tcPr>
            <w:tcW w:type="dxa" w:w="2150"/>
          </w:tcPr>
          <w:p>
            <w:pPr>
              <w:jc w:val="center"/>
            </w:pPr>
            <w:r>
              <w:rPr>
                <w:rFonts w:ascii="Arial" w:hAnsi="Arial"/>
                <w:color w:val="161616"/>
                <w:sz w:val="16"/>
              </w:rPr>
              <w:t>Post button missing</w:t>
            </w:r>
          </w:p>
        </w:tc>
        <w:tc>
          <w:tcPr>
            <w:tcW w:type="dxa" w:w="3250"/>
          </w:tcPr>
          <w:p>
            <w:pPr>
              <w:jc w:val="left"/>
            </w:pPr>
            <w:r>
              <w:rPr>
                <w:rFonts w:ascii="Arial" w:hAnsi="Arial"/>
                <w:color w:val="161616"/>
                <w:sz w:val="16"/>
              </w:rPr>
              <w:t>No Post permission or item is not ready_to_post.</w:t>
            </w:r>
          </w:p>
        </w:tc>
        <w:tc>
          <w:tcPr>
            <w:tcW w:type="dxa" w:w="3978"/>
          </w:tcPr>
          <w:p>
            <w:pPr>
              <w:jc w:val="left"/>
            </w:pPr>
            <w:r>
              <w:rPr>
                <w:rFonts w:ascii="Arial" w:hAnsi="Arial"/>
                <w:color w:val="161616"/>
                <w:sz w:val="16"/>
              </w:rPr>
              <w:t>Check role permissions and document/queue status; never borrow credentials.</w:t>
            </w:r>
          </w:p>
        </w:tc>
      </w:tr>
      <w:tr>
        <w:tc>
          <w:tcPr>
            <w:tcW w:type="dxa" w:w="2150"/>
            <w:shd w:fill="FAFAFA"/>
          </w:tcPr>
          <w:p>
            <w:pPr>
              <w:jc w:val="center"/>
            </w:pPr>
            <w:r>
              <w:rPr>
                <w:rFonts w:ascii="Arial" w:hAnsi="Arial"/>
                <w:color w:val="161616"/>
                <w:sz w:val="16"/>
              </w:rPr>
              <w:t>Posting failed</w:t>
            </w:r>
          </w:p>
        </w:tc>
        <w:tc>
          <w:tcPr>
            <w:tcW w:type="dxa" w:w="3250"/>
            <w:shd w:fill="FAFAFA"/>
          </w:tcPr>
          <w:p>
            <w:pPr>
              <w:jc w:val="left"/>
            </w:pPr>
            <w:r>
              <w:rPr>
                <w:rFonts w:ascii="Arial" w:hAnsi="Arial"/>
                <w:color w:val="161616"/>
                <w:sz w:val="16"/>
              </w:rPr>
              <w:t>Missing mapping, closed period, invalid status, duplicate or unbalanced treatment.</w:t>
            </w:r>
          </w:p>
        </w:tc>
        <w:tc>
          <w:tcPr>
            <w:tcW w:type="dxa" w:w="3978"/>
            <w:shd w:fill="FAFAFA"/>
          </w:tcPr>
          <w:p>
            <w:pPr>
              <w:jc w:val="left"/>
            </w:pPr>
            <w:r>
              <w:rPr>
                <w:rFonts w:ascii="Arial" w:hAnsi="Arial"/>
                <w:color w:val="161616"/>
                <w:sz w:val="16"/>
              </w:rPr>
              <w:t>Read the error, correct the cause, retain evidence and retry once.</w:t>
            </w:r>
          </w:p>
        </w:tc>
      </w:tr>
      <w:tr>
        <w:tc>
          <w:tcPr>
            <w:tcW w:type="dxa" w:w="2150"/>
          </w:tcPr>
          <w:p>
            <w:pPr>
              <w:jc w:val="center"/>
            </w:pPr>
            <w:r>
              <w:rPr>
                <w:rFonts w:ascii="Arial" w:hAnsi="Arial"/>
                <w:color w:val="161616"/>
                <w:sz w:val="16"/>
              </w:rPr>
              <w:t>Document not in queue</w:t>
            </w:r>
          </w:p>
        </w:tc>
        <w:tc>
          <w:tcPr>
            <w:tcW w:type="dxa" w:w="3250"/>
          </w:tcPr>
          <w:p>
            <w:pPr>
              <w:jc w:val="left"/>
            </w:pPr>
            <w:r>
              <w:rPr>
                <w:rFonts w:ascii="Arial" w:hAnsi="Arial"/>
                <w:color w:val="161616"/>
                <w:sz w:val="16"/>
              </w:rPr>
              <w:t>Source not approved/bridged, already posted or filtered out.</w:t>
            </w:r>
          </w:p>
        </w:tc>
        <w:tc>
          <w:tcPr>
            <w:tcW w:type="dxa" w:w="3978"/>
          </w:tcPr>
          <w:p>
            <w:pPr>
              <w:jc w:val="left"/>
            </w:pPr>
            <w:r>
              <w:rPr>
                <w:rFonts w:ascii="Arial" w:hAnsi="Arial"/>
                <w:color w:val="161616"/>
                <w:sz w:val="16"/>
              </w:rPr>
              <w:t>Verify source workflow, clear filters and inspect Financial Documents.</w:t>
            </w:r>
          </w:p>
        </w:tc>
      </w:tr>
      <w:tr>
        <w:tc>
          <w:tcPr>
            <w:tcW w:type="dxa" w:w="2150"/>
            <w:shd w:fill="FAFAFA"/>
          </w:tcPr>
          <w:p>
            <w:pPr>
              <w:jc w:val="center"/>
            </w:pPr>
            <w:r>
              <w:rPr>
                <w:rFonts w:ascii="Arial" w:hAnsi="Arial"/>
                <w:color w:val="161616"/>
                <w:sz w:val="16"/>
              </w:rPr>
              <w:t>AR/AP differs from ledger</w:t>
            </w:r>
          </w:p>
        </w:tc>
        <w:tc>
          <w:tcPr>
            <w:tcW w:type="dxa" w:w="3250"/>
            <w:shd w:fill="FAFAFA"/>
          </w:tcPr>
          <w:p>
            <w:pPr>
              <w:jc w:val="left"/>
            </w:pPr>
            <w:r>
              <w:rPr>
                <w:rFonts w:ascii="Arial" w:hAnsi="Arial"/>
                <w:color w:val="161616"/>
                <w:sz w:val="16"/>
              </w:rPr>
              <w:t>Unposted items, timing, credit notes, advances, partial settlements or wrong dimension.</w:t>
            </w:r>
          </w:p>
        </w:tc>
        <w:tc>
          <w:tcPr>
            <w:tcW w:type="dxa" w:w="3978"/>
            <w:shd w:fill="FAFAFA"/>
          </w:tcPr>
          <w:p>
            <w:pPr>
              <w:jc w:val="left"/>
            </w:pPr>
            <w:r>
              <w:rPr>
                <w:rFonts w:ascii="Arial" w:hAnsi="Arial"/>
                <w:color w:val="161616"/>
                <w:sz w:val="16"/>
              </w:rPr>
              <w:t>Reconcile item-by-item to source and journal references.</w:t>
            </w:r>
          </w:p>
        </w:tc>
      </w:tr>
      <w:tr>
        <w:tc>
          <w:tcPr>
            <w:tcW w:type="dxa" w:w="2150"/>
          </w:tcPr>
          <w:p>
            <w:pPr>
              <w:jc w:val="center"/>
            </w:pPr>
            <w:r>
              <w:rPr>
                <w:rFonts w:ascii="Arial" w:hAnsi="Arial"/>
                <w:color w:val="161616"/>
                <w:sz w:val="16"/>
              </w:rPr>
              <w:t>GST exception remains</w:t>
            </w:r>
          </w:p>
        </w:tc>
        <w:tc>
          <w:tcPr>
            <w:tcW w:type="dxa" w:w="3250"/>
          </w:tcPr>
          <w:p>
            <w:pPr>
              <w:jc w:val="left"/>
            </w:pPr>
            <w:r>
              <w:rPr>
                <w:rFonts w:ascii="Arial" w:hAnsi="Arial"/>
                <w:color w:val="161616"/>
                <w:sz w:val="16"/>
              </w:rPr>
              <w:t>Tax breakup/classification/registration or 2B match is incomplete.</w:t>
            </w:r>
          </w:p>
        </w:tc>
        <w:tc>
          <w:tcPr>
            <w:tcW w:type="dxa" w:w="3978"/>
          </w:tcPr>
          <w:p>
            <w:pPr>
              <w:jc w:val="left"/>
            </w:pPr>
            <w:r>
              <w:rPr>
                <w:rFonts w:ascii="Arial" w:hAnsi="Arial"/>
                <w:color w:val="161616"/>
                <w:sz w:val="16"/>
              </w:rPr>
              <w:t>Review source invoice and statutory eligibility; obtain CA review where needed.</w:t>
            </w:r>
          </w:p>
        </w:tc>
      </w:tr>
      <w:tr>
        <w:tc>
          <w:tcPr>
            <w:tcW w:type="dxa" w:w="2150"/>
            <w:shd w:fill="FAFAFA"/>
          </w:tcPr>
          <w:p>
            <w:pPr>
              <w:jc w:val="center"/>
            </w:pPr>
            <w:r>
              <w:rPr>
                <w:rFonts w:ascii="Arial" w:hAnsi="Arial"/>
                <w:color w:val="161616"/>
                <w:sz w:val="16"/>
              </w:rPr>
              <w:t>Bank difference</w:t>
            </w:r>
          </w:p>
        </w:tc>
        <w:tc>
          <w:tcPr>
            <w:tcW w:type="dxa" w:w="3250"/>
            <w:shd w:fill="FAFAFA"/>
          </w:tcPr>
          <w:p>
            <w:pPr>
              <w:jc w:val="left"/>
            </w:pPr>
            <w:r>
              <w:rPr>
                <w:rFonts w:ascii="Arial" w:hAnsi="Arial"/>
                <w:color w:val="161616"/>
                <w:sz w:val="16"/>
              </w:rPr>
              <w:t>Unmatched statement item, duplicate import, missing book entry or timing difference.</w:t>
            </w:r>
          </w:p>
        </w:tc>
        <w:tc>
          <w:tcPr>
            <w:tcW w:type="dxa" w:w="3978"/>
            <w:shd w:fill="FAFAFA"/>
          </w:tcPr>
          <w:p>
            <w:pPr>
              <w:jc w:val="left"/>
            </w:pPr>
            <w:r>
              <w:rPr>
                <w:rFonts w:ascii="Arial" w:hAnsi="Arial"/>
                <w:color w:val="161616"/>
                <w:sz w:val="16"/>
              </w:rPr>
              <w:t>Investigate; record a valid adjustment only with approval and evidence.</w:t>
            </w:r>
          </w:p>
        </w:tc>
      </w:tr>
      <w:tr>
        <w:tc>
          <w:tcPr>
            <w:tcW w:type="dxa" w:w="2150"/>
          </w:tcPr>
          <w:p>
            <w:pPr>
              <w:jc w:val="center"/>
            </w:pPr>
            <w:r>
              <w:rPr>
                <w:rFonts w:ascii="Arial" w:hAnsi="Arial"/>
                <w:color w:val="161616"/>
                <w:sz w:val="16"/>
              </w:rPr>
              <w:t>Report looks incomplete</w:t>
            </w:r>
          </w:p>
        </w:tc>
        <w:tc>
          <w:tcPr>
            <w:tcW w:type="dxa" w:w="3250"/>
          </w:tcPr>
          <w:p>
            <w:pPr>
              <w:jc w:val="left"/>
            </w:pPr>
            <w:r>
              <w:rPr>
                <w:rFonts w:ascii="Arial" w:hAnsi="Arial"/>
                <w:color w:val="161616"/>
                <w:sz w:val="16"/>
              </w:rPr>
              <w:t>Filters, period, division or unposted data.</w:t>
            </w:r>
          </w:p>
        </w:tc>
        <w:tc>
          <w:tcPr>
            <w:tcW w:type="dxa" w:w="3978"/>
          </w:tcPr>
          <w:p>
            <w:pPr>
              <w:jc w:val="left"/>
            </w:pPr>
            <w:r>
              <w:rPr>
                <w:rFonts w:ascii="Arial" w:hAnsi="Arial"/>
                <w:color w:val="161616"/>
                <w:sz w:val="16"/>
              </w:rPr>
              <w:t>Confirm report parameters and posting completeness before exporting.</w:t>
            </w:r>
          </w:p>
        </w:tc>
      </w:tr>
      <w:tr>
        <w:tc>
          <w:tcPr>
            <w:tcW w:type="dxa" w:w="2150"/>
            <w:shd w:fill="FAFAFA"/>
          </w:tcPr>
          <w:p>
            <w:pPr>
              <w:jc w:val="center"/>
            </w:pPr>
            <w:r>
              <w:rPr>
                <w:rFonts w:ascii="Arial" w:hAnsi="Arial"/>
                <w:color w:val="161616"/>
                <w:sz w:val="16"/>
              </w:rPr>
              <w:t>Button/action unavailable</w:t>
            </w:r>
          </w:p>
        </w:tc>
        <w:tc>
          <w:tcPr>
            <w:tcW w:type="dxa" w:w="3250"/>
            <w:shd w:fill="FAFAFA"/>
          </w:tcPr>
          <w:p>
            <w:pPr>
              <w:jc w:val="left"/>
            </w:pPr>
            <w:r>
              <w:rPr>
                <w:rFonts w:ascii="Arial" w:hAnsi="Arial"/>
                <w:color w:val="161616"/>
                <w:sz w:val="16"/>
              </w:rPr>
              <w:t>Page is permission-aware.</w:t>
            </w:r>
          </w:p>
        </w:tc>
        <w:tc>
          <w:tcPr>
            <w:tcW w:type="dxa" w:w="3978"/>
            <w:shd w:fill="FAFAFA"/>
          </w:tcPr>
          <w:p>
            <w:pPr>
              <w:jc w:val="left"/>
            </w:pPr>
            <w:r>
              <w:rPr>
                <w:rFonts w:ascii="Arial" w:hAnsi="Arial"/>
                <w:color w:val="161616"/>
                <w:sz w:val="16"/>
              </w:rPr>
              <w:t>Ask an administrator to grant the correct action to your role if business-authorised.</w:t>
            </w:r>
          </w:p>
        </w:tc>
      </w:tr>
    </w:tbl>
    <w:p>
      <w:pPr>
        <w:spacing w:after="0"/>
      </w:pPr>
    </w:p>
    <w:p>
      <w:pPr>
        <w:pStyle w:val="Heading1"/>
      </w:pPr>
      <w:r>
        <w:t>18. Glossary</w:t>
      </w:r>
    </w:p>
    <w:tbl>
      <w:tblPr>
        <w:tblStyle w:val="TableGrid"/>
        <w:tblW w:type="dxa" w:w="9378"/>
        <w:jc w:val="left"/>
        <w:tblLayout w:type="fixed"/>
        <w:tblLook w:firstColumn="1" w:firstRow="1" w:lastColumn="0" w:lastRow="0" w:noHBand="0" w:noVBand="1" w:val="04A0"/>
        <w:tblInd w:w="120" w:type="dxa"/>
      </w:tblPr>
      <w:tblGrid>
        <w:gridCol w:w="2250"/>
        <w:gridCol w:w="7128"/>
      </w:tblGrid>
      <w:tr>
        <w:trPr>
          <w:tblHeader w:val="true"/>
        </w:trPr>
        <w:tc>
          <w:tcPr>
            <w:tcW w:type="dxa" w:w="2250"/>
            <w:tcMar>
              <w:top w:w="100" w:type="dxa"/>
              <w:start w:w="120" w:type="dxa"/>
              <w:bottom w:w="100" w:type="dxa"/>
              <w:end w:w="120" w:type="dxa"/>
            </w:tcMar>
            <w:vAlign w:val="center"/>
            <w:shd w:fill="161616"/>
          </w:tcPr>
          <w:p>
            <w:pPr>
              <w:jc w:val="center"/>
            </w:pPr>
            <w:r>
              <w:rPr>
                <w:rFonts w:ascii="Arial" w:hAnsi="Arial"/>
                <w:b/>
                <w:color w:val="FFFFFF"/>
                <w:sz w:val="17"/>
              </w:rPr>
              <w:t>Term</w:t>
            </w:r>
          </w:p>
        </w:tc>
        <w:tc>
          <w:tcPr>
            <w:tcW w:type="dxa" w:w="7128"/>
            <w:tcMar>
              <w:top w:w="100" w:type="dxa"/>
              <w:start w:w="120" w:type="dxa"/>
              <w:bottom w:w="100" w:type="dxa"/>
              <w:end w:w="120" w:type="dxa"/>
            </w:tcMar>
            <w:vAlign w:val="center"/>
            <w:shd w:fill="161616"/>
          </w:tcPr>
          <w:p>
            <w:pPr>
              <w:jc w:val="center"/>
            </w:pPr>
            <w:r>
              <w:rPr>
                <w:rFonts w:ascii="Arial" w:hAnsi="Arial"/>
                <w:b/>
                <w:color w:val="FFFFFF"/>
                <w:sz w:val="17"/>
              </w:rPr>
              <w:t>Plain-language meaning</w:t>
            </w:r>
          </w:p>
        </w:tc>
      </w:tr>
      <w:tr>
        <w:tc>
          <w:tcPr>
            <w:tcW w:type="dxa" w:w="2250"/>
          </w:tcPr>
          <w:p>
            <w:pPr>
              <w:jc w:val="center"/>
            </w:pPr>
            <w:r>
              <w:rPr>
                <w:rFonts w:ascii="Arial" w:hAnsi="Arial"/>
                <w:color w:val="161616"/>
                <w:sz w:val="17"/>
              </w:rPr>
              <w:t>Financial document</w:t>
            </w:r>
          </w:p>
        </w:tc>
        <w:tc>
          <w:tcPr>
            <w:tcW w:type="dxa" w:w="7128"/>
          </w:tcPr>
          <w:p>
            <w:pPr>
              <w:jc w:val="left"/>
            </w:pPr>
            <w:r>
              <w:rPr>
                <w:rFonts w:ascii="Arial" w:hAnsi="Arial"/>
                <w:color w:val="161616"/>
                <w:sz w:val="17"/>
              </w:rPr>
              <w:t>The Central Accounts representation of an approved source transaction.</w:t>
            </w:r>
          </w:p>
        </w:tc>
      </w:tr>
      <w:tr>
        <w:tc>
          <w:tcPr>
            <w:tcW w:type="dxa" w:w="2250"/>
            <w:shd w:fill="FAFAFA"/>
          </w:tcPr>
          <w:p>
            <w:pPr>
              <w:jc w:val="center"/>
            </w:pPr>
            <w:r>
              <w:rPr>
                <w:rFonts w:ascii="Arial" w:hAnsi="Arial"/>
                <w:color w:val="161616"/>
                <w:sz w:val="17"/>
              </w:rPr>
              <w:t>Posting queue</w:t>
            </w:r>
          </w:p>
        </w:tc>
        <w:tc>
          <w:tcPr>
            <w:tcW w:type="dxa" w:w="7128"/>
            <w:shd w:fill="FAFAFA"/>
          </w:tcPr>
          <w:p>
            <w:pPr>
              <w:jc w:val="left"/>
            </w:pPr>
            <w:r>
              <w:rPr>
                <w:rFonts w:ascii="Arial" w:hAnsi="Arial"/>
                <w:color w:val="161616"/>
                <w:sz w:val="17"/>
              </w:rPr>
              <w:t>The controlled waiting area before a transaction changes the ledger.</w:t>
            </w:r>
          </w:p>
        </w:tc>
      </w:tr>
      <w:tr>
        <w:tc>
          <w:tcPr>
            <w:tcW w:type="dxa" w:w="2250"/>
          </w:tcPr>
          <w:p>
            <w:pPr>
              <w:jc w:val="center"/>
            </w:pPr>
            <w:r>
              <w:rPr>
                <w:rFonts w:ascii="Arial" w:hAnsi="Arial"/>
                <w:color w:val="161616"/>
                <w:sz w:val="17"/>
              </w:rPr>
              <w:t>Journal</w:t>
            </w:r>
          </w:p>
        </w:tc>
        <w:tc>
          <w:tcPr>
            <w:tcW w:type="dxa" w:w="7128"/>
          </w:tcPr>
          <w:p>
            <w:pPr>
              <w:jc w:val="left"/>
            </w:pPr>
            <w:r>
              <w:rPr>
                <w:rFonts w:ascii="Arial" w:hAnsi="Arial"/>
                <w:color w:val="161616"/>
                <w:sz w:val="17"/>
              </w:rPr>
              <w:t>A balanced set of debit and credit lines recorded in the books.</w:t>
            </w:r>
          </w:p>
        </w:tc>
      </w:tr>
      <w:tr>
        <w:tc>
          <w:tcPr>
            <w:tcW w:type="dxa" w:w="2250"/>
            <w:shd w:fill="FAFAFA"/>
          </w:tcPr>
          <w:p>
            <w:pPr>
              <w:jc w:val="center"/>
            </w:pPr>
            <w:r>
              <w:rPr>
                <w:rFonts w:ascii="Arial" w:hAnsi="Arial"/>
                <w:color w:val="161616"/>
                <w:sz w:val="17"/>
              </w:rPr>
              <w:t>Ledger account</w:t>
            </w:r>
          </w:p>
        </w:tc>
        <w:tc>
          <w:tcPr>
            <w:tcW w:type="dxa" w:w="7128"/>
            <w:shd w:fill="FAFAFA"/>
          </w:tcPr>
          <w:p>
            <w:pPr>
              <w:jc w:val="left"/>
            </w:pPr>
            <w:r>
              <w:rPr>
                <w:rFonts w:ascii="Arial" w:hAnsi="Arial"/>
                <w:color w:val="161616"/>
                <w:sz w:val="17"/>
              </w:rPr>
              <w:t>The account used to classify assets, liabilities, income, expenses or equity.</w:t>
            </w:r>
          </w:p>
        </w:tc>
      </w:tr>
      <w:tr>
        <w:tc>
          <w:tcPr>
            <w:tcW w:type="dxa" w:w="2250"/>
          </w:tcPr>
          <w:p>
            <w:pPr>
              <w:jc w:val="center"/>
            </w:pPr>
            <w:r>
              <w:rPr>
                <w:rFonts w:ascii="Arial" w:hAnsi="Arial"/>
                <w:color w:val="161616"/>
                <w:sz w:val="17"/>
              </w:rPr>
              <w:t>Reporting dimension</w:t>
            </w:r>
          </w:p>
        </w:tc>
        <w:tc>
          <w:tcPr>
            <w:tcW w:type="dxa" w:w="7128"/>
          </w:tcPr>
          <w:p>
            <w:pPr>
              <w:jc w:val="left"/>
            </w:pPr>
            <w:r>
              <w:rPr>
                <w:rFonts w:ascii="Arial" w:hAnsi="Arial"/>
                <w:color w:val="161616"/>
                <w:sz w:val="17"/>
              </w:rPr>
              <w:t>A division, counterparty or other attribute used to analyse a posting.</w:t>
            </w:r>
          </w:p>
        </w:tc>
      </w:tr>
      <w:tr>
        <w:tc>
          <w:tcPr>
            <w:tcW w:type="dxa" w:w="2250"/>
            <w:shd w:fill="FAFAFA"/>
          </w:tcPr>
          <w:p>
            <w:pPr>
              <w:jc w:val="center"/>
            </w:pPr>
            <w:r>
              <w:rPr>
                <w:rFonts w:ascii="Arial" w:hAnsi="Arial"/>
                <w:color w:val="161616"/>
                <w:sz w:val="17"/>
              </w:rPr>
              <w:t>Open item</w:t>
            </w:r>
          </w:p>
        </w:tc>
        <w:tc>
          <w:tcPr>
            <w:tcW w:type="dxa" w:w="7128"/>
            <w:shd w:fill="FAFAFA"/>
          </w:tcPr>
          <w:p>
            <w:pPr>
              <w:jc w:val="left"/>
            </w:pPr>
            <w:r>
              <w:rPr>
                <w:rFonts w:ascii="Arial" w:hAnsi="Arial"/>
                <w:color w:val="161616"/>
                <w:sz w:val="17"/>
              </w:rPr>
              <w:t>An unpaid or partly settled receivable/payable balance.</w:t>
            </w:r>
          </w:p>
        </w:tc>
      </w:tr>
      <w:tr>
        <w:tc>
          <w:tcPr>
            <w:tcW w:type="dxa" w:w="2250"/>
          </w:tcPr>
          <w:p>
            <w:pPr>
              <w:jc w:val="center"/>
            </w:pPr>
            <w:r>
              <w:rPr>
                <w:rFonts w:ascii="Arial" w:hAnsi="Arial"/>
                <w:color w:val="161616"/>
                <w:sz w:val="17"/>
              </w:rPr>
              <w:t>Aging</w:t>
            </w:r>
          </w:p>
        </w:tc>
        <w:tc>
          <w:tcPr>
            <w:tcW w:type="dxa" w:w="7128"/>
          </w:tcPr>
          <w:p>
            <w:pPr>
              <w:jc w:val="left"/>
            </w:pPr>
            <w:r>
              <w:rPr>
                <w:rFonts w:ascii="Arial" w:hAnsi="Arial"/>
                <w:color w:val="161616"/>
                <w:sz w:val="17"/>
              </w:rPr>
              <w:t>Grouping open balances by the time elapsed from their due/reference date.</w:t>
            </w:r>
          </w:p>
        </w:tc>
      </w:tr>
      <w:tr>
        <w:tc>
          <w:tcPr>
            <w:tcW w:type="dxa" w:w="2250"/>
            <w:shd w:fill="FAFAFA"/>
          </w:tcPr>
          <w:p>
            <w:pPr>
              <w:jc w:val="center"/>
            </w:pPr>
            <w:r>
              <w:rPr>
                <w:rFonts w:ascii="Arial" w:hAnsi="Arial"/>
                <w:color w:val="161616"/>
                <w:sz w:val="17"/>
              </w:rPr>
              <w:t>Reconciliation</w:t>
            </w:r>
          </w:p>
        </w:tc>
        <w:tc>
          <w:tcPr>
            <w:tcW w:type="dxa" w:w="7128"/>
            <w:shd w:fill="FAFAFA"/>
          </w:tcPr>
          <w:p>
            <w:pPr>
              <w:jc w:val="left"/>
            </w:pPr>
            <w:r>
              <w:rPr>
                <w:rFonts w:ascii="Arial" w:hAnsi="Arial"/>
                <w:color w:val="161616"/>
                <w:sz w:val="17"/>
              </w:rPr>
              <w:t>Proving that two related records or balances agree, with explanations for differences.</w:t>
            </w:r>
          </w:p>
        </w:tc>
      </w:tr>
      <w:tr>
        <w:tc>
          <w:tcPr>
            <w:tcW w:type="dxa" w:w="2250"/>
          </w:tcPr>
          <w:p>
            <w:pPr>
              <w:jc w:val="center"/>
            </w:pPr>
            <w:r>
              <w:rPr>
                <w:rFonts w:ascii="Arial" w:hAnsi="Arial"/>
                <w:color w:val="161616"/>
                <w:sz w:val="17"/>
              </w:rPr>
              <w:t>ITC</w:t>
            </w:r>
          </w:p>
        </w:tc>
        <w:tc>
          <w:tcPr>
            <w:tcW w:type="dxa" w:w="7128"/>
          </w:tcPr>
          <w:p>
            <w:pPr>
              <w:jc w:val="left"/>
            </w:pPr>
            <w:r>
              <w:rPr>
                <w:rFonts w:ascii="Arial" w:hAnsi="Arial"/>
                <w:color w:val="161616"/>
                <w:sz w:val="17"/>
              </w:rPr>
              <w:t>Input Tax Credit, subject to statutory eligibility and evidence.</w:t>
            </w:r>
          </w:p>
        </w:tc>
      </w:tr>
      <w:tr>
        <w:tc>
          <w:tcPr>
            <w:tcW w:type="dxa" w:w="2250"/>
            <w:shd w:fill="FAFAFA"/>
          </w:tcPr>
          <w:p>
            <w:pPr>
              <w:jc w:val="center"/>
            </w:pPr>
            <w:r>
              <w:rPr>
                <w:rFonts w:ascii="Arial" w:hAnsi="Arial"/>
                <w:color w:val="161616"/>
                <w:sz w:val="17"/>
              </w:rPr>
              <w:t>TDS</w:t>
            </w:r>
          </w:p>
        </w:tc>
        <w:tc>
          <w:tcPr>
            <w:tcW w:type="dxa" w:w="7128"/>
            <w:shd w:fill="FAFAFA"/>
          </w:tcPr>
          <w:p>
            <w:pPr>
              <w:jc w:val="left"/>
            </w:pPr>
            <w:r>
              <w:rPr>
                <w:rFonts w:ascii="Arial" w:hAnsi="Arial"/>
                <w:color w:val="161616"/>
                <w:sz w:val="17"/>
              </w:rPr>
              <w:t>Tax Deducted at Source, tracked by deductee, section, challan and return period.</w:t>
            </w:r>
          </w:p>
        </w:tc>
      </w:tr>
      <w:tr>
        <w:tc>
          <w:tcPr>
            <w:tcW w:type="dxa" w:w="2250"/>
          </w:tcPr>
          <w:p>
            <w:pPr>
              <w:jc w:val="center"/>
            </w:pPr>
            <w:r>
              <w:rPr>
                <w:rFonts w:ascii="Arial" w:hAnsi="Arial"/>
                <w:color w:val="161616"/>
                <w:sz w:val="17"/>
              </w:rPr>
              <w:t>Close</w:t>
            </w:r>
          </w:p>
        </w:tc>
        <w:tc>
          <w:tcPr>
            <w:tcW w:type="dxa" w:w="7128"/>
          </w:tcPr>
          <w:p>
            <w:pPr>
              <w:jc w:val="left"/>
            </w:pPr>
            <w:r>
              <w:rPr>
                <w:rFonts w:ascii="Arial" w:hAnsi="Arial"/>
                <w:color w:val="161616"/>
                <w:sz w:val="17"/>
              </w:rPr>
              <w:t>The controlled completion and locking of an accounting period after review.</w:t>
            </w:r>
          </w:p>
        </w:tc>
      </w:tr>
      <w:tr>
        <w:tc>
          <w:tcPr>
            <w:tcW w:type="dxa" w:w="2250"/>
            <w:shd w:fill="FAFAFA"/>
          </w:tcPr>
          <w:p>
            <w:pPr>
              <w:jc w:val="center"/>
            </w:pPr>
            <w:r>
              <w:rPr>
                <w:rFonts w:ascii="Arial" w:hAnsi="Arial"/>
                <w:color w:val="161616"/>
                <w:sz w:val="17"/>
              </w:rPr>
              <w:t>Maker-checker</w:t>
            </w:r>
          </w:p>
        </w:tc>
        <w:tc>
          <w:tcPr>
            <w:tcW w:type="dxa" w:w="7128"/>
            <w:shd w:fill="FAFAFA"/>
          </w:tcPr>
          <w:p>
            <w:pPr>
              <w:jc w:val="left"/>
            </w:pPr>
            <w:r>
              <w:rPr>
                <w:rFonts w:ascii="Arial" w:hAnsi="Arial"/>
                <w:color w:val="161616"/>
                <w:sz w:val="17"/>
              </w:rPr>
              <w:t>Separation between the preparer and the reviewer/approver of controlled work.</w:t>
            </w:r>
          </w:p>
        </w:tc>
      </w:tr>
    </w:tbl>
    <w:p>
      <w:pPr>
        <w:spacing w:after="0"/>
      </w:pPr>
    </w:p>
    <w:p>
      <w:pPr>
        <w:pStyle w:val="Heading2"/>
      </w:pPr>
      <w:r>
        <w:t>Training sign-off</w:t>
      </w:r>
    </w:p>
    <w:p>
      <w:pPr>
        <w:spacing w:after="120"/>
      </w:pPr>
      <w:r>
        <w:rPr>
          <w:rFonts w:ascii="Arial" w:hAnsi="Arial"/>
          <w:i w:val="0"/>
          <w:color w:val="161616"/>
          <w:sz w:val="22"/>
        </w:rPr>
        <w:t>Before receiving posting or approval rights, the trainee should demonstrate one supervised document review, one posting trace, one reconciliation walkthrough and one close-control task with evidence.</w:t>
      </w:r>
    </w:p>
    <w:tbl>
      <w:tblPr>
        <w:tblStyle w:val="TableGrid"/>
        <w:tblW w:type="dxa" w:w="9378"/>
        <w:jc w:val="left"/>
        <w:tblLayout w:type="fixed"/>
        <w:tblLook w:firstColumn="1" w:firstRow="1" w:lastColumn="0" w:lastRow="0" w:noHBand="0" w:noVBand="1" w:val="04A0"/>
        <w:tblInd w:w="120" w:type="dxa"/>
      </w:tblPr>
      <w:tblGrid>
        <w:gridCol w:w="2500"/>
        <w:gridCol w:w="2500"/>
        <w:gridCol w:w="1600"/>
        <w:gridCol w:w="2778"/>
      </w:tblGrid>
      <w:tr>
        <w:trPr>
          <w:tblHeader w:val="true"/>
        </w:trPr>
        <w:tc>
          <w:tcPr>
            <w:tcW w:type="dxa" w:w="2500"/>
            <w:tcMar>
              <w:top w:w="100" w:type="dxa"/>
              <w:start w:w="120" w:type="dxa"/>
              <w:bottom w:w="100" w:type="dxa"/>
              <w:end w:w="120" w:type="dxa"/>
            </w:tcMar>
            <w:vAlign w:val="center"/>
            <w:shd w:fill="161616"/>
          </w:tcPr>
          <w:p>
            <w:pPr>
              <w:jc w:val="center"/>
            </w:pPr>
            <w:r>
              <w:rPr>
                <w:rFonts w:ascii="Arial" w:hAnsi="Arial"/>
                <w:b/>
                <w:color w:val="FFFFFF"/>
                <w:sz w:val="17"/>
              </w:rPr>
              <w:t>Trainee</w:t>
            </w:r>
          </w:p>
        </w:tc>
        <w:tc>
          <w:tcPr>
            <w:tcW w:type="dxa" w:w="2500"/>
            <w:tcMar>
              <w:top w:w="100" w:type="dxa"/>
              <w:start w:w="120" w:type="dxa"/>
              <w:bottom w:w="100" w:type="dxa"/>
              <w:end w:w="120" w:type="dxa"/>
            </w:tcMar>
            <w:vAlign w:val="center"/>
            <w:shd w:fill="161616"/>
          </w:tcPr>
          <w:p>
            <w:pPr>
              <w:jc w:val="center"/>
            </w:pPr>
            <w:r>
              <w:rPr>
                <w:rFonts w:ascii="Arial" w:hAnsi="Arial"/>
                <w:b/>
                <w:color w:val="FFFFFF"/>
                <w:sz w:val="17"/>
              </w:rPr>
              <w:t>Trainer</w:t>
            </w:r>
          </w:p>
        </w:tc>
        <w:tc>
          <w:tcPr>
            <w:tcW w:type="dxa" w:w="1600"/>
            <w:tcMar>
              <w:top w:w="100" w:type="dxa"/>
              <w:start w:w="120" w:type="dxa"/>
              <w:bottom w:w="100" w:type="dxa"/>
              <w:end w:w="120" w:type="dxa"/>
            </w:tcMar>
            <w:vAlign w:val="center"/>
            <w:shd w:fill="161616"/>
          </w:tcPr>
          <w:p>
            <w:pPr>
              <w:jc w:val="center"/>
            </w:pPr>
            <w:r>
              <w:rPr>
                <w:rFonts w:ascii="Arial" w:hAnsi="Arial"/>
                <w:b/>
                <w:color w:val="FFFFFF"/>
                <w:sz w:val="17"/>
              </w:rPr>
              <w:t>Date</w:t>
            </w:r>
          </w:p>
        </w:tc>
        <w:tc>
          <w:tcPr>
            <w:tcW w:type="dxa" w:w="2778"/>
            <w:tcMar>
              <w:top w:w="100" w:type="dxa"/>
              <w:start w:w="120" w:type="dxa"/>
              <w:bottom w:w="100" w:type="dxa"/>
              <w:end w:w="120" w:type="dxa"/>
            </w:tcMar>
            <w:vAlign w:val="center"/>
            <w:shd w:fill="161616"/>
          </w:tcPr>
          <w:p>
            <w:pPr>
              <w:jc w:val="center"/>
            </w:pPr>
            <w:r>
              <w:rPr>
                <w:rFonts w:ascii="Arial" w:hAnsi="Arial"/>
                <w:b/>
                <w:color w:val="FFFFFF"/>
                <w:sz w:val="17"/>
              </w:rPr>
              <w:t>Outcome</w:t>
            </w:r>
          </w:p>
        </w:tc>
      </w:tr>
      <w:tr>
        <w:tc>
          <w:tcPr>
            <w:tcW w:type="dxa" w:w="2500"/>
          </w:tcPr>
          <w:p>
            <w:pPr>
              <w:jc w:val="center"/>
            </w:pPr>
            <w:r>
              <w:rPr>
                <w:rFonts w:ascii="Arial" w:hAnsi="Arial"/>
                <w:color w:val="161616"/>
                <w:sz w:val="17"/>
              </w:rPr>
            </w:r>
          </w:p>
        </w:tc>
        <w:tc>
          <w:tcPr>
            <w:tcW w:type="dxa" w:w="2500"/>
          </w:tcPr>
          <w:p>
            <w:pPr>
              <w:jc w:val="left"/>
            </w:pPr>
            <w:r>
              <w:rPr>
                <w:rFonts w:ascii="Arial" w:hAnsi="Arial"/>
                <w:color w:val="161616"/>
                <w:sz w:val="17"/>
              </w:rPr>
            </w:r>
          </w:p>
        </w:tc>
        <w:tc>
          <w:tcPr>
            <w:tcW w:type="dxa" w:w="1600"/>
          </w:tcPr>
          <w:p>
            <w:pPr>
              <w:jc w:val="left"/>
            </w:pPr>
            <w:r>
              <w:rPr>
                <w:rFonts w:ascii="Arial" w:hAnsi="Arial"/>
                <w:color w:val="161616"/>
                <w:sz w:val="17"/>
              </w:rPr>
            </w:r>
          </w:p>
        </w:tc>
        <w:tc>
          <w:tcPr>
            <w:tcW w:type="dxa" w:w="2778"/>
          </w:tcPr>
          <w:p>
            <w:pPr>
              <w:jc w:val="left"/>
            </w:pPr>
            <w:r>
              <w:rPr>
                <w:rFonts w:ascii="Arial" w:hAnsi="Arial"/>
                <w:color w:val="161616"/>
                <w:sz w:val="17"/>
              </w:rPr>
              <w:t>Competent / Further training required</w:t>
            </w:r>
          </w:p>
        </w:tc>
      </w:tr>
    </w:tbl>
    <w:p>
      <w:pPr>
        <w:spacing w:after="0"/>
      </w:pPr>
    </w:p>
    <w:tbl>
      <w:tblPr>
        <w:tblW w:type="dxa" w:w="9878"/>
        <w:jc w:val="left"/>
        <w:tblLayout w:type="fixed"/>
        <w:tblLook w:firstColumn="1" w:firstRow="1" w:lastColumn="0" w:lastRow="0" w:noHBand="0" w:noVBand="1" w:val="04A0"/>
        <w:tblInd w:w="0" w:type="dxa"/>
      </w:tblPr>
      <w:tblGrid>
        <w:gridCol w:w="9878"/>
      </w:tblGrid>
      <w:tr>
        <w:tc>
          <w:tcPr>
            <w:tcW w:type="dxa" w:w="9878"/>
            <w:tcMar>
              <w:top w:w="100" w:type="dxa"/>
              <w:start w:w="120" w:type="dxa"/>
              <w:bottom w:w="100" w:type="dxa"/>
              <w:end w:w="120" w:type="dxa"/>
            </w:tcMar>
            <w:vAlign w:val="center"/>
            <w:shd w:fill="F3F4F6"/>
          </w:tcPr>
          <w:p>
            <w:pPr>
              <w:spacing w:after="60"/>
            </w:pPr>
            <w:r>
              <w:rPr>
                <w:rFonts w:ascii="Arial" w:hAnsi="Arial"/>
                <w:b/>
                <w:color w:val="666666"/>
                <w:sz w:val="21"/>
              </w:rPr>
              <w:t>Scope and disclaimer</w:t>
            </w:r>
          </w:p>
          <w:p>
            <w:pPr>
              <w:spacing w:after="0"/>
            </w:pPr>
            <w:r>
              <w:rPr>
                <w:rFonts w:ascii="Arial" w:hAnsi="Arial"/>
                <w:color w:val="161616"/>
                <w:sz w:val="19"/>
              </w:rPr>
              <w:t>This manual explains how the EMS Central Accounts module is designed to be operated. It is not tax, audit, legal or accounting advice and does not override company policy, statutory requirements or professional judgement. Screen actions remain controlled by the user’s assigned permissions.</w:t>
            </w:r>
          </w:p>
        </w:tc>
      </w:tr>
    </w:tbl>
    <w:p>
      <w:pPr>
        <w:spacing w:after="0"/>
      </w:pPr>
    </w:p>
    <w:sectPr w:rsidR="00FC693F" w:rsidRPr="0006063C" w:rsidSect="00034616">
      <w:headerReference w:type="default" r:id="rId9"/>
      <w:footerReference w:type="default" r:id="rId10"/>
      <w:pgSz w:w="12240" w:h="15840"/>
      <w:pgMar w:top="1037" w:right="1181" w:bottom="979"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7"/>
      </w:rPr>
      <w:t xml:space="preserve">Internal Training • Version 1.0 • Page </w:t>
    </w:r>
    <w:r>
      <w:rPr>
        <w:rFonts w:ascii="Arial" w:hAnsi="Arial"/>
        <w:color w:val="66666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878"/>
      <w:jc w:val="left"/>
      <w:tblLayout w:type="fixed"/>
      <w:tblLook w:firstColumn="1" w:firstRow="1" w:lastColumn="0" w:lastRow="0" w:noHBand="0" w:noVBand="1" w:val="04A0"/>
      <w:tblInd w:w="0" w:type="dxa"/>
      <w:tblBorders/>
    </w:tblPr>
    <w:tblGrid>
      <w:gridCol w:w="5200"/>
      <w:gridCol w:w="4678"/>
    </w:tblGrid>
    <w:tr>
      <w:tc>
        <w:tcPr>
          <w:tcW w:type="dxa" w:w="5200"/>
          <w:tcMar>
            <w:top w:w="100" w:type="dxa"/>
            <w:start w:w="120" w:type="dxa"/>
            <w:bottom w:w="100" w:type="dxa"/>
            <w:end w:w="120" w:type="dxa"/>
          </w:tcMar>
          <w:vAlign w:val="center"/>
        </w:tcPr>
        <w:p>
          <w:pPr>
            <w:jc w:val="left"/>
          </w:pPr>
          <w:r>
            <w:rPr>
              <w:rFonts w:ascii="Arial" w:hAnsi="Arial"/>
              <w:b/>
              <w:color w:val="7B5B19"/>
              <w:sz w:val="16"/>
            </w:rPr>
            <w:t>VARADA NEXUS PRIVATE LIMITED</w:t>
          </w:r>
        </w:p>
      </w:tc>
      <w:tc>
        <w:tcPr>
          <w:tcW w:type="dxa" w:w="4678"/>
          <w:tcMar>
            <w:top w:w="100" w:type="dxa"/>
            <w:start w:w="120" w:type="dxa"/>
            <w:bottom w:w="100" w:type="dxa"/>
            <w:end w:w="120" w:type="dxa"/>
          </w:tcMar>
          <w:vAlign w:val="center"/>
        </w:tcPr>
        <w:p>
          <w:pPr>
            <w:jc w:val="right"/>
          </w:pPr>
          <w:r>
            <w:rPr>
              <w:rFonts w:ascii="Arial" w:hAnsi="Arial"/>
              <w:b/>
              <w:color w:val="666666"/>
              <w:sz w:val="16"/>
            </w:rPr>
            <w:t>CENTRAL ACCOUNTS TRAINING MANUAL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616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7B5B19"/>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61616"/>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7B5B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Varada Nexus Central Accounts Training Manual</dc:title>
  <dc:subject>EMS 2.0 Central Accounts operator training</dc:subject>
  <dc:creator>Varada Nexus Private Limited</dc:creator>
  <cp:keywords>Central Accounts, EMS, finance, accounting, training</cp:keywords>
  <dc:description>generated by python-docx</dc:description>
  <cp:lastModifiedBy/>
  <cp:revision>1</cp:revision>
  <dcterms:created xsi:type="dcterms:W3CDTF">2013-12-23T23:15:00Z</dcterms:created>
  <dcterms:modified xsi:type="dcterms:W3CDTF">2013-12-23T23:15:00Z</dcterms:modified>
  <cp:category/>
</cp:coreProperties>
</file>