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 University Academic &amp; Examination Regulations (2026-2027 Edition)</w:t>
      </w:r>
    </w:p>
    <w:p>
      <w:r>
        <w:t>[SYNTHETIC DEMONSTRATION POLICY DOCUMENT]</w:t>
      </w:r>
    </w:p>
    <w:p>
      <w:pPr>
        <w:pStyle w:val="Heading2"/>
      </w:pPr>
      <w:r>
        <w:t>Section 1: Academic Attendance and Leave Regulations</w:t>
      </w:r>
    </w:p>
    <w:p>
      <w:r>
        <w:t>1.1 Minimum Attendance Requirement: All registered undergraduate and postgraduate students must maintain at least 80% attendance in lectures and practical sessions to remain eligible for end-semester examinations.</w:t>
      </w:r>
    </w:p>
    <w:p>
      <w:r>
        <w:t>1.2 Medical Leave Exemption: Students unable to meet the attendance threshold due to hospitalization may submit medical certificates to the Dean of Academic Affairs within 7 days of discharge.</w:t>
      </w:r>
    </w:p>
    <w:p>
      <w:r>
        <w:t>1.3 Biometric Morning Logging: Daily attendance must be registered using biometric turnstiles no later than 09:15 AM each instructional morning.</w:t>
      </w:r>
    </w:p>
    <w:p>
      <w:pPr>
        <w:pStyle w:val="Heading2"/>
      </w:pPr>
      <w:r>
        <w:t>Section 2: Examination Enrollment and Fee Structure</w:t>
      </w:r>
    </w:p>
    <w:p>
      <w:r>
        <w:t>2.1 Examination Registration Fee: Every candidate must remit an examination registration fee of $150 per semester prior to hall ticket issuance.</w:t>
      </w:r>
    </w:p>
    <w:p>
      <w:r>
        <w:t>2.2 Re-Evaluation Requests: A candidate may apply for re-evaluation of answer scripts within 10 days of grade publication upon payment of $50 per course.</w:t>
      </w:r>
    </w:p>
    <w:p>
      <w:r>
        <w:t>2.3 Hall Ticket Inspection: Valid institutional identity cards must be visibly carried upon entry to the university examination hall.</w:t>
      </w:r>
    </w:p>
    <w:p>
      <w:pPr>
        <w:pStyle w:val="Heading2"/>
      </w:pPr>
      <w:r>
        <w:t>Section 3: Project Deadlines and Submission Guidelines</w:t>
      </w:r>
    </w:p>
    <w:p>
      <w:r>
        <w:t>3.1 Capstone Submission Deadline: Final capstone project reports and portfolios must be submitted on or before 30 July 2026 to the departmental examination coordinator.</w:t>
      </w:r>
    </w:p>
    <w:p>
      <w:r>
        <w:t>3.2 Late Submission Policy: Late submission of academic projects is strictly prohibited under any circumstances; late portals will not accept files.</w:t>
      </w:r>
    </w:p>
    <w:p>
      <w:r>
        <w:t>3.3 Mandatory Ethics Requirement: All graduating candidates must successfully complete a mandatory 2-credit Artificial Intelligence &amp; Academic Integrity seminar before degree clearance.</w:t>
      </w:r>
    </w:p>
    <w:p>
      <w:pPr>
        <w:pStyle w:val="Heading2"/>
      </w:pPr>
      <w:r>
        <w:t>Section 4: Merit Scholarships and Academic Honors</w:t>
      </w:r>
    </w:p>
    <w:p>
      <w:r>
        <w:t>4.1 Dean's Merit Scholarship: Only final-year undergraduate students with a cumulative GPA of 3.8 or above are eligible to apply for institutional tuition scholarships.</w:t>
      </w:r>
    </w:p>
    <w:p>
      <w:r>
        <w:t>4.2 Minimum Qualifying Grade: Scholarship awardees must maintain continuous academic progress with no unexcused semester backlogs.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