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Varadise Agent Platform Systems Analysis and Design</w:t>
      </w:r>
    </w:p>
    <w:p>
      <w:pPr>
        <w:spacing w:after="80"/>
        <w:jc w:val="center"/>
      </w:pPr>
      <w:r>
        <w:rPr>
          <w:color w:val="2F75B5"/>
          <w:sz w:val="30"/>
        </w:rPr>
        <w:t>Handover architecture, workflows, deployment and operating model</w:t>
      </w:r>
    </w:p>
    <w:p>
      <w:pPr>
        <w:spacing w:after="400"/>
        <w:jc w:val="center"/>
      </w:pPr>
      <w:r>
        <w:rPr>
          <w:i/>
        </w:rPr>
        <w:t>Version 1.0 | 28 September 2026 | Prepared for system handover</w:t>
      </w:r>
    </w:p>
    <w:p>
      <w:pPr>
        <w:spacing w:after="140" w:line="259" w:lineRule="auto"/>
      </w:pPr>
      <w:r>
        <w:t>This document explains how the Varadise Agent Platform is structured, how requests move through it, what data and trust boundaries it uses, and what the receiver must verify before accepting operation. It is written as a practical systems analysis and design reference for engineering, security, deployment and support teams.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7365D"/>
            <w:tcMar>
              <w:top w:w="100" w:type="dxa"/>
              <w:start w:w="120" w:type="dxa"/>
              <w:bottom w:w="100" w:type="dxa"/>
              <w:end w:w="120" w:type="dxa"/>
            </w:tcMar>
            <w:vAlign w:val="center"/>
          </w:tcPr>
          <w:p>
            <w:pPr>
              <w:jc w:val="center"/>
            </w:pPr>
            <w:r>
              <w:rPr>
                <w:b/>
                <w:color w:val="FFFFFF"/>
                <w:sz w:val="18"/>
              </w:rPr>
              <w:t>Document item</w:t>
            </w:r>
          </w:p>
        </w:tc>
        <w:tc>
          <w:tcPr>
            <w:tcW w:type="dxa" w:w="6336"/>
            <w:shd w:fill="17365D"/>
            <w:tcMar>
              <w:top w:w="100" w:type="dxa"/>
              <w:start w:w="120" w:type="dxa"/>
              <w:bottom w:w="100" w:type="dxa"/>
              <w:end w:w="120" w:type="dxa"/>
            </w:tcMar>
            <w:vAlign w:val="center"/>
          </w:tcPr>
          <w:p>
            <w:pPr>
              <w:jc w:val="center"/>
            </w:pPr>
            <w:r>
              <w:rPr>
                <w:b/>
                <w:color w:val="FFFFFF"/>
                <w:sz w:val="18"/>
              </w:rPr>
              <w:t>Value</w:t>
            </w:r>
          </w:p>
        </w:tc>
      </w:tr>
      <w:tr>
        <w:tc>
          <w:tcPr>
            <w:tcW w:type="dxa" w:w="2880"/>
            <w:tcMar>
              <w:top w:w="100" w:type="dxa"/>
              <w:start w:w="120" w:type="dxa"/>
              <w:bottom w:w="100" w:type="dxa"/>
              <w:end w:w="120" w:type="dxa"/>
            </w:tcMar>
            <w:vAlign w:val="center"/>
          </w:tcPr>
          <w:p>
            <w:r>
              <w:rPr>
                <w:color w:val="1F2937"/>
                <w:sz w:val="18"/>
              </w:rPr>
              <w:t>System</w:t>
            </w:r>
          </w:p>
        </w:tc>
        <w:tc>
          <w:tcPr>
            <w:tcW w:type="dxa" w:w="6336"/>
            <w:tcMar>
              <w:top w:w="100" w:type="dxa"/>
              <w:start w:w="120" w:type="dxa"/>
              <w:bottom w:w="100" w:type="dxa"/>
              <w:end w:w="120" w:type="dxa"/>
            </w:tcMar>
            <w:vAlign w:val="center"/>
          </w:tcPr>
          <w:p>
            <w:r>
              <w:rPr>
                <w:color w:val="1F2937"/>
                <w:sz w:val="18"/>
              </w:rPr>
              <w:t>Varadise Agent Platform</w:t>
            </w:r>
          </w:p>
        </w:tc>
      </w:tr>
      <w:tr>
        <w:tc>
          <w:tcPr>
            <w:tcW w:type="dxa" w:w="2880"/>
            <w:tcMar>
              <w:top w:w="100" w:type="dxa"/>
              <w:start w:w="120" w:type="dxa"/>
              <w:bottom w:w="100" w:type="dxa"/>
              <w:end w:w="120" w:type="dxa"/>
            </w:tcMar>
            <w:vAlign w:val="center"/>
            <w:shd w:fill="F7F9FC"/>
          </w:tcPr>
          <w:p>
            <w:r>
              <w:rPr>
                <w:color w:val="1F2937"/>
                <w:sz w:val="18"/>
              </w:rPr>
              <w:t>Baseline source commit</w:t>
            </w:r>
          </w:p>
        </w:tc>
        <w:tc>
          <w:tcPr>
            <w:tcW w:type="dxa" w:w="6336"/>
            <w:tcMar>
              <w:top w:w="100" w:type="dxa"/>
              <w:start w:w="120" w:type="dxa"/>
              <w:bottom w:w="100" w:type="dxa"/>
              <w:end w:w="120" w:type="dxa"/>
            </w:tcMar>
            <w:vAlign w:val="center"/>
            <w:shd w:fill="F7F9FC"/>
          </w:tcPr>
          <w:p>
            <w:r>
              <w:rPr>
                <w:color w:val="1F2937"/>
                <w:sz w:val="18"/>
              </w:rPr>
              <w:t>a55db265b3462e32acdef210e3e000f48b0e3a66</w:t>
            </w:r>
          </w:p>
        </w:tc>
      </w:tr>
      <w:tr>
        <w:tc>
          <w:tcPr>
            <w:tcW w:type="dxa" w:w="2880"/>
            <w:tcMar>
              <w:top w:w="100" w:type="dxa"/>
              <w:start w:w="120" w:type="dxa"/>
              <w:bottom w:w="100" w:type="dxa"/>
              <w:end w:w="120" w:type="dxa"/>
            </w:tcMar>
            <w:vAlign w:val="center"/>
          </w:tcPr>
          <w:p>
            <w:r>
              <w:rPr>
                <w:color w:val="1F2937"/>
                <w:sz w:val="18"/>
              </w:rPr>
              <w:t>Source branch</w:t>
            </w:r>
          </w:p>
        </w:tc>
        <w:tc>
          <w:tcPr>
            <w:tcW w:type="dxa" w:w="6336"/>
            <w:tcMar>
              <w:top w:w="100" w:type="dxa"/>
              <w:start w:w="120" w:type="dxa"/>
              <w:bottom w:w="100" w:type="dxa"/>
              <w:end w:w="120" w:type="dxa"/>
            </w:tcMar>
            <w:vAlign w:val="center"/>
          </w:tcPr>
          <w:p>
            <w:r>
              <w:rPr>
                <w:color w:val="1F2937"/>
                <w:sz w:val="18"/>
              </w:rPr>
              <w:t>codex/major-revamp-2026-09-25</w:t>
            </w:r>
          </w:p>
        </w:tc>
      </w:tr>
      <w:tr>
        <w:tc>
          <w:tcPr>
            <w:tcW w:type="dxa" w:w="2880"/>
            <w:tcMar>
              <w:top w:w="100" w:type="dxa"/>
              <w:start w:w="120" w:type="dxa"/>
              <w:bottom w:w="100" w:type="dxa"/>
              <w:end w:w="120" w:type="dxa"/>
            </w:tcMar>
            <w:vAlign w:val="center"/>
            <w:shd w:fill="F7F9FC"/>
          </w:tcPr>
          <w:p>
            <w:r>
              <w:rPr>
                <w:color w:val="1F2937"/>
                <w:sz w:val="18"/>
              </w:rPr>
              <w:t>Primary runtime</w:t>
            </w:r>
          </w:p>
        </w:tc>
        <w:tc>
          <w:tcPr>
            <w:tcW w:type="dxa" w:w="6336"/>
            <w:tcMar>
              <w:top w:w="100" w:type="dxa"/>
              <w:start w:w="120" w:type="dxa"/>
              <w:bottom w:w="100" w:type="dxa"/>
              <w:end w:w="120" w:type="dxa"/>
            </w:tcMar>
            <w:vAlign w:val="center"/>
            <w:shd w:fill="F7F9FC"/>
          </w:tcPr>
          <w:p>
            <w:r>
              <w:rPr>
                <w:color w:val="1F2937"/>
                <w:sz w:val="18"/>
              </w:rPr>
              <w:t>Node.js 22 in Docker</w:t>
            </w:r>
          </w:p>
        </w:tc>
      </w:tr>
      <w:tr>
        <w:tc>
          <w:tcPr>
            <w:tcW w:type="dxa" w:w="2880"/>
            <w:tcMar>
              <w:top w:w="100" w:type="dxa"/>
              <w:start w:w="120" w:type="dxa"/>
              <w:bottom w:w="100" w:type="dxa"/>
              <w:end w:w="120" w:type="dxa"/>
            </w:tcMar>
            <w:vAlign w:val="center"/>
          </w:tcPr>
          <w:p>
            <w:r>
              <w:rPr>
                <w:color w:val="1F2937"/>
                <w:sz w:val="18"/>
              </w:rPr>
              <w:t>Persistence</w:t>
            </w:r>
          </w:p>
        </w:tc>
        <w:tc>
          <w:tcPr>
            <w:tcW w:type="dxa" w:w="6336"/>
            <w:tcMar>
              <w:top w:w="100" w:type="dxa"/>
              <w:start w:w="120" w:type="dxa"/>
              <w:bottom w:w="100" w:type="dxa"/>
              <w:end w:w="120" w:type="dxa"/>
            </w:tcMar>
            <w:vAlign w:val="center"/>
          </w:tcPr>
          <w:p>
            <w:r>
              <w:rPr>
                <w:color w:val="1F2937"/>
                <w:sz w:val="18"/>
              </w:rPr>
              <w:t>PostgreSQL 17 with pgvector, or JSON store fallback</w:t>
            </w:r>
          </w:p>
        </w:tc>
      </w:tr>
      <w:tr>
        <w:tc>
          <w:tcPr>
            <w:tcW w:type="dxa" w:w="2880"/>
            <w:tcMar>
              <w:top w:w="100" w:type="dxa"/>
              <w:start w:w="120" w:type="dxa"/>
              <w:bottom w:w="100" w:type="dxa"/>
              <w:end w:w="120" w:type="dxa"/>
            </w:tcMar>
            <w:vAlign w:val="center"/>
            <w:shd w:fill="F7F9FC"/>
          </w:tcPr>
          <w:p>
            <w:r>
              <w:rPr>
                <w:color w:val="1F2937"/>
                <w:sz w:val="18"/>
              </w:rPr>
              <w:t>Handover package</w:t>
            </w:r>
          </w:p>
        </w:tc>
        <w:tc>
          <w:tcPr>
            <w:tcW w:type="dxa" w:w="6336"/>
            <w:tcMar>
              <w:top w:w="100" w:type="dxa"/>
              <w:start w:w="120" w:type="dxa"/>
              <w:bottom w:w="100" w:type="dxa"/>
              <w:end w:w="120" w:type="dxa"/>
            </w:tcMar>
            <w:vAlign w:val="center"/>
            <w:shd w:fill="F7F9FC"/>
          </w:tcPr>
          <w:p>
            <w:r>
              <w:rPr>
                <w:color w:val="1F2937"/>
                <w:sz w:val="18"/>
              </w:rPr>
              <w:t>01-source and 02-docker-preserved in this folder</w:t>
            </w:r>
          </w:p>
        </w:tc>
      </w:tr>
      <w:tr>
        <w:tc>
          <w:tcPr>
            <w:tcW w:type="dxa" w:w="2880"/>
            <w:tcMar>
              <w:top w:w="100" w:type="dxa"/>
              <w:start w:w="120" w:type="dxa"/>
              <w:bottom w:w="100" w:type="dxa"/>
              <w:end w:w="120" w:type="dxa"/>
            </w:tcMar>
            <w:vAlign w:val="center"/>
          </w:tcPr>
          <w:p>
            <w:r>
              <w:rPr>
                <w:color w:val="1F2937"/>
                <w:sz w:val="18"/>
              </w:rPr>
              <w:t>Status snapshot</w:t>
            </w:r>
          </w:p>
        </w:tc>
        <w:tc>
          <w:tcPr>
            <w:tcW w:type="dxa" w:w="6336"/>
            <w:tcMar>
              <w:top w:w="100" w:type="dxa"/>
              <w:start w:w="120" w:type="dxa"/>
              <w:bottom w:w="100" w:type="dxa"/>
              <w:end w:w="120" w:type="dxa"/>
            </w:tcMar>
            <w:vAlign w:val="center"/>
          </w:tcPr>
          <w:p>
            <w:r>
              <w:rPr>
                <w:color w:val="1F2937"/>
                <w:sz w:val="18"/>
              </w:rPr>
              <w:t>Health OK; schema revision 8121; retrieval 13 documents / 69 chunks; one WhatsApp session captured</w:t>
            </w:r>
          </w:p>
        </w:tc>
      </w:tr>
    </w:tbl>
    <w:p>
      <w:pPr>
        <w:spacing w:after="40"/>
      </w:pPr>
    </w:p>
    <w:p>
      <w:r>
        <w:br w:type="page"/>
      </w:r>
    </w:p>
    <w:p>
      <w:pPr>
        <w:pStyle w:val="Title"/>
      </w:pPr>
      <w:r>
        <w:t>Contents</w:t>
      </w:r>
    </w:p>
    <w:p>
      <w:pPr>
        <w:pStyle w:val="ListBullet"/>
        <w:spacing w:after="60"/>
      </w:pPr>
      <w:r>
        <w:t>1 Executive summary</w:t>
      </w:r>
    </w:p>
    <w:p>
      <w:pPr>
        <w:pStyle w:val="ListBullet"/>
        <w:spacing w:after="60"/>
      </w:pPr>
      <w:r>
        <w:t>2 Purpose and scope</w:t>
      </w:r>
    </w:p>
    <w:p>
      <w:pPr>
        <w:pStyle w:val="ListBullet"/>
        <w:spacing w:after="60"/>
      </w:pPr>
      <w:r>
        <w:t>3 Stakeholders actors and permissions</w:t>
      </w:r>
    </w:p>
    <w:p>
      <w:pPr>
        <w:pStyle w:val="ListBullet"/>
        <w:spacing w:after="60"/>
      </w:pPr>
      <w:r>
        <w:t>4 Functional requirements</w:t>
      </w:r>
    </w:p>
    <w:p>
      <w:pPr>
        <w:pStyle w:val="ListBullet"/>
        <w:spacing w:after="60"/>
      </w:pPr>
      <w:r>
        <w:t>5 Nonfunctional requirements</w:t>
      </w:r>
    </w:p>
    <w:p>
      <w:pPr>
        <w:pStyle w:val="ListBullet"/>
        <w:spacing w:after="60"/>
      </w:pPr>
      <w:r>
        <w:t>6 System context</w:t>
      </w:r>
    </w:p>
    <w:p>
      <w:pPr>
        <w:pStyle w:val="ListBullet"/>
        <w:spacing w:after="60"/>
      </w:pPr>
      <w:r>
        <w:t>7 Use case view</w:t>
      </w:r>
    </w:p>
    <w:p>
      <w:pPr>
        <w:pStyle w:val="ListBullet"/>
        <w:spacing w:after="60"/>
      </w:pPr>
      <w:r>
        <w:t>8 Logical component architecture</w:t>
      </w:r>
    </w:p>
    <w:p>
      <w:pPr>
        <w:pStyle w:val="ListBullet"/>
        <w:spacing w:after="60"/>
      </w:pPr>
      <w:r>
        <w:t>9 Docker deployment architecture</w:t>
      </w:r>
    </w:p>
    <w:p>
      <w:pPr>
        <w:pStyle w:val="ListBullet"/>
        <w:spacing w:after="60"/>
      </w:pPr>
      <w:r>
        <w:t>10 Data model and persistence design</w:t>
      </w:r>
    </w:p>
    <w:p>
      <w:pPr>
        <w:pStyle w:val="ListBullet"/>
        <w:spacing w:after="60"/>
      </w:pPr>
      <w:r>
        <w:t>11 Agent Chat workflow</w:t>
      </w:r>
    </w:p>
    <w:p>
      <w:pPr>
        <w:pStyle w:val="ListBullet"/>
        <w:spacing w:after="60"/>
      </w:pPr>
      <w:r>
        <w:t>12 WhatsApp workflow</w:t>
      </w:r>
    </w:p>
    <w:p>
      <w:pPr>
        <w:pStyle w:val="ListBullet"/>
        <w:spacing w:after="60"/>
      </w:pPr>
      <w:r>
        <w:t>13 File ingestion and retrieval workflow</w:t>
      </w:r>
    </w:p>
    <w:p>
      <w:pPr>
        <w:pStyle w:val="ListBullet"/>
        <w:spacing w:after="60"/>
      </w:pPr>
      <w:r>
        <w:t>14 Document template and artifact QA workflow</w:t>
      </w:r>
    </w:p>
    <w:p>
      <w:pPr>
        <w:pStyle w:val="ListBullet"/>
        <w:spacing w:after="60"/>
      </w:pPr>
      <w:r>
        <w:t>15 Message and artifact state model</w:t>
      </w:r>
    </w:p>
    <w:p>
      <w:pPr>
        <w:pStyle w:val="ListBullet"/>
        <w:spacing w:after="60"/>
      </w:pPr>
      <w:r>
        <w:t>16 API and integration design</w:t>
      </w:r>
    </w:p>
    <w:p>
      <w:pPr>
        <w:pStyle w:val="ListBullet"/>
        <w:spacing w:after="60"/>
      </w:pPr>
      <w:r>
        <w:t>17 Security and trust boundaries</w:t>
      </w:r>
    </w:p>
    <w:p>
      <w:pPr>
        <w:pStyle w:val="ListBullet"/>
        <w:spacing w:after="60"/>
      </w:pPr>
      <w:r>
        <w:t>18 Operations backup and restore</w:t>
      </w:r>
    </w:p>
    <w:p>
      <w:pPr>
        <w:pStyle w:val="ListBullet"/>
        <w:spacing w:after="60"/>
      </w:pPr>
      <w:r>
        <w:t>19 Testing and acceptance</w:t>
      </w:r>
    </w:p>
    <w:p>
      <w:pPr>
        <w:pStyle w:val="ListBullet"/>
        <w:spacing w:after="60"/>
      </w:pPr>
      <w:r>
        <w:t>20 Risks and hardening recommendations</w:t>
      </w:r>
    </w:p>
    <w:p>
      <w:pPr>
        <w:pStyle w:val="ListBullet"/>
        <w:spacing w:after="60"/>
      </w:pPr>
      <w:r>
        <w:t>21 Traceability to source files</w:t>
      </w:r>
    </w:p>
    <w:p>
      <w:pPr>
        <w:pStyle w:val="ListBullet"/>
        <w:spacing w:after="60"/>
      </w:pPr>
      <w:r>
        <w:t>22 Diagram index</w:t>
      </w:r>
    </w:p>
    <w:p>
      <w:pPr>
        <w:pStyle w:val="ListBullet"/>
        <w:spacing w:after="60"/>
      </w:pPr>
      <w:r>
        <w:t>23 Receiver command appendix</w:t>
      </w:r>
    </w:p>
    <w:p>
      <w:pPr>
        <w:pStyle w:val="Heading1"/>
      </w:pPr>
      <w:r>
        <w:t>1 Executive summary</w:t>
      </w:r>
    </w:p>
    <w:p>
      <w:pPr>
        <w:spacing w:after="140" w:line="259" w:lineRule="auto"/>
      </w:pPr>
      <w:r>
        <w:t>Varadise is a coordinator-first platform for version-pinned construction AI experts operating inside protected project boundaries. The control plane provides a browser application, project and deployment administration, retrieval over project documents, direct or Hermes-mediated model execution, document artifact generation, WhatsApp project-group integration, and activity/audit records.</w:t>
      </w:r>
    </w:p>
    <w:p>
      <w:pPr>
        <w:spacing w:after="140" w:line="259" w:lineRule="auto"/>
      </w:pPr>
      <w:r>
        <w:t>The design separates coordination from model execution. Every message is authorized, resolved to a project and deployment, enriched with scoped context, executed through a bounded provider or Hermes request, and persisted with a manifest revision and hash. Artifacts are rendered from managed templates and pass deterministic report QA before delivery.</w:t>
      </w:r>
    </w:p>
    <w:p>
      <w:pPr>
        <w:spacing w:after="140" w:line="259" w:lineRule="auto"/>
      </w:pPr>
      <w:r>
        <w:t>The handover is operationally usable when the receiver can restore the preserved Docker package, confirm PostgreSQL and application health, rotate secrets, create named users, verify project and deployment scopes, pair or re-pair WhatsApp groups, test one direct and one Hermes request, and prove that an artifact can be rendered and downloaded.</w:t>
      </w:r>
    </w:p>
    <w:p>
      <w:pPr>
        <w:pStyle w:val="Heading1"/>
      </w:pPr>
      <w:r>
        <w:t>2 Purpose and scope</w:t>
      </w:r>
    </w:p>
    <w:p>
      <w:pPr>
        <w:spacing w:after="140" w:line="259" w:lineRule="auto"/>
      </w:pPr>
      <w:r>
        <w:t>This SAD covers the implemented platform represented by the source snapshot and preserved Docker package in the handover folder. It describes design intent, current behavior, interfaces, persistence, deployment, security, operations and acceptance evidence. It includes both the browser control plane and the project WhatsApp bridge.</w:t>
      </w:r>
    </w:p>
    <w:p>
      <w:pPr>
        <w:spacing w:after="140" w:line="259" w:lineRule="auto"/>
      </w:pPr>
      <w:r>
        <w:t>The document does not replace product policy, provider contracts, project-specific prompt content, legal retention schedules or production network standards. Those are receiver-owned decisions that must be applied after restoration.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shd w:fill="17365D"/>
            <w:tcMar>
              <w:top w:w="100" w:type="dxa"/>
              <w:start w:w="120" w:type="dxa"/>
              <w:bottom w:w="100" w:type="dxa"/>
              <w:end w:w="120" w:type="dxa"/>
            </w:tcMar>
            <w:vAlign w:val="center"/>
          </w:tcPr>
          <w:p>
            <w:pPr>
              <w:jc w:val="center"/>
            </w:pPr>
            <w:r>
              <w:rPr>
                <w:b/>
                <w:color w:val="FFFFFF"/>
                <w:sz w:val="18"/>
              </w:rPr>
              <w:t>In scope</w:t>
            </w:r>
          </w:p>
        </w:tc>
        <w:tc>
          <w:tcPr>
            <w:tcW w:type="dxa" w:w="4608"/>
            <w:shd w:fill="17365D"/>
            <w:tcMar>
              <w:top w:w="100" w:type="dxa"/>
              <w:start w:w="120" w:type="dxa"/>
              <w:bottom w:w="100" w:type="dxa"/>
              <w:end w:w="120" w:type="dxa"/>
            </w:tcMar>
            <w:vAlign w:val="center"/>
          </w:tcPr>
          <w:p>
            <w:pPr>
              <w:jc w:val="center"/>
            </w:pPr>
            <w:r>
              <w:rPr>
                <w:b/>
                <w:color w:val="FFFFFF"/>
                <w:sz w:val="18"/>
              </w:rPr>
              <w:t>Out of scope</w:t>
            </w:r>
          </w:p>
        </w:tc>
      </w:tr>
      <w:tr>
        <w:tc>
          <w:tcPr>
            <w:tcW w:type="dxa" w:w="4608"/>
            <w:tcMar>
              <w:top w:w="100" w:type="dxa"/>
              <w:start w:w="120" w:type="dxa"/>
              <w:bottom w:w="100" w:type="dxa"/>
              <w:end w:w="120" w:type="dxa"/>
            </w:tcMar>
            <w:vAlign w:val="center"/>
          </w:tcPr>
          <w:p>
            <w:r>
              <w:rPr>
                <w:color w:val="1F2937"/>
                <w:sz w:val="18"/>
              </w:rPr>
              <w:t>Control-plane SPA, HTTP API, persistence adapters, retrieval, expert deployments</w:t>
            </w:r>
          </w:p>
        </w:tc>
        <w:tc>
          <w:tcPr>
            <w:tcW w:type="dxa" w:w="4608"/>
            <w:tcMar>
              <w:top w:w="100" w:type="dxa"/>
              <w:start w:w="120" w:type="dxa"/>
              <w:bottom w:w="100" w:type="dxa"/>
              <w:end w:w="120" w:type="dxa"/>
            </w:tcMar>
            <w:vAlign w:val="center"/>
          </w:tcPr>
          <w:p>
            <w:r>
              <w:rPr>
                <w:color w:val="1F2937"/>
                <w:sz w:val="18"/>
              </w:rPr>
              <w:t>Commercial terms, sales process and marketing collateral</w:t>
            </w:r>
          </w:p>
        </w:tc>
      </w:tr>
      <w:tr>
        <w:tc>
          <w:tcPr>
            <w:tcW w:type="dxa" w:w="4608"/>
            <w:tcMar>
              <w:top w:w="100" w:type="dxa"/>
              <w:start w:w="120" w:type="dxa"/>
              <w:bottom w:w="100" w:type="dxa"/>
              <w:end w:w="120" w:type="dxa"/>
            </w:tcMar>
            <w:vAlign w:val="center"/>
            <w:shd w:fill="F7F9FC"/>
          </w:tcPr>
          <w:p>
            <w:r>
              <w:rPr>
                <w:color w:val="1F2937"/>
                <w:sz w:val="18"/>
              </w:rPr>
              <w:t>Direct model and Hermes execution paths</w:t>
            </w:r>
          </w:p>
        </w:tc>
        <w:tc>
          <w:tcPr>
            <w:tcW w:type="dxa" w:w="4608"/>
            <w:tcMar>
              <w:top w:w="100" w:type="dxa"/>
              <w:start w:w="120" w:type="dxa"/>
              <w:bottom w:w="100" w:type="dxa"/>
              <w:end w:w="120" w:type="dxa"/>
            </w:tcMar>
            <w:vAlign w:val="center"/>
            <w:shd w:fill="F7F9FC"/>
          </w:tcPr>
          <w:p>
            <w:r>
              <w:rPr>
                <w:color w:val="1F2937"/>
                <w:sz w:val="18"/>
              </w:rPr>
              <w:t>Provider account procurement and billing</w:t>
            </w:r>
          </w:p>
        </w:tc>
      </w:tr>
      <w:tr>
        <w:tc>
          <w:tcPr>
            <w:tcW w:type="dxa" w:w="4608"/>
            <w:tcMar>
              <w:top w:w="100" w:type="dxa"/>
              <w:start w:w="120" w:type="dxa"/>
              <w:bottom w:w="100" w:type="dxa"/>
              <w:end w:w="120" w:type="dxa"/>
            </w:tcMar>
            <w:vAlign w:val="center"/>
          </w:tcPr>
          <w:p>
            <w:r>
              <w:rPr>
                <w:color w:val="1F2937"/>
                <w:sz w:val="18"/>
              </w:rPr>
              <w:t>WhatsApp pairing, group binding, context and delivery acknowledgements</w:t>
            </w:r>
          </w:p>
        </w:tc>
        <w:tc>
          <w:tcPr>
            <w:tcW w:type="dxa" w:w="4608"/>
            <w:tcMar>
              <w:top w:w="100" w:type="dxa"/>
              <w:start w:w="120" w:type="dxa"/>
              <w:bottom w:w="100" w:type="dxa"/>
              <w:end w:w="120" w:type="dxa"/>
            </w:tcMar>
            <w:vAlign w:val="center"/>
          </w:tcPr>
          <w:p>
            <w:r>
              <w:rPr>
                <w:color w:val="1F2937"/>
                <w:sz w:val="18"/>
              </w:rPr>
              <w:t>WhatsApp business verification outside the bridge</w:t>
            </w:r>
          </w:p>
        </w:tc>
      </w:tr>
      <w:tr>
        <w:tc>
          <w:tcPr>
            <w:tcW w:type="dxa" w:w="4608"/>
            <w:tcMar>
              <w:top w:w="100" w:type="dxa"/>
              <w:start w:w="120" w:type="dxa"/>
              <w:bottom w:w="100" w:type="dxa"/>
              <w:end w:w="120" w:type="dxa"/>
            </w:tcMar>
            <w:vAlign w:val="center"/>
            <w:shd w:fill="F7F9FC"/>
          </w:tcPr>
          <w:p>
            <w:r>
              <w:rPr>
                <w:color w:val="1F2937"/>
                <w:sz w:val="18"/>
              </w:rPr>
              <w:t>Document templates, rendering and report QA</w:t>
            </w:r>
          </w:p>
        </w:tc>
        <w:tc>
          <w:tcPr>
            <w:tcW w:type="dxa" w:w="4608"/>
            <w:tcMar>
              <w:top w:w="100" w:type="dxa"/>
              <w:start w:w="120" w:type="dxa"/>
              <w:bottom w:w="100" w:type="dxa"/>
              <w:end w:w="120" w:type="dxa"/>
            </w:tcMar>
            <w:vAlign w:val="center"/>
            <w:shd w:fill="F7F9FC"/>
          </w:tcPr>
          <w:p>
            <w:r>
              <w:rPr>
                <w:color w:val="1F2937"/>
                <w:sz w:val="18"/>
              </w:rPr>
              <w:t>Formal certification or regulatory approval</w:t>
            </w:r>
          </w:p>
        </w:tc>
      </w:tr>
      <w:tr>
        <w:tc>
          <w:tcPr>
            <w:tcW w:type="dxa" w:w="4608"/>
            <w:tcMar>
              <w:top w:w="100" w:type="dxa"/>
              <w:start w:w="120" w:type="dxa"/>
              <w:bottom w:w="100" w:type="dxa"/>
              <w:end w:w="120" w:type="dxa"/>
            </w:tcMar>
            <w:vAlign w:val="center"/>
          </w:tcPr>
          <w:p>
            <w:r>
              <w:rPr>
                <w:color w:val="1F2937"/>
                <w:sz w:val="18"/>
              </w:rPr>
              <w:t>Docker services, volumes, backup and restore</w:t>
            </w:r>
          </w:p>
        </w:tc>
        <w:tc>
          <w:tcPr>
            <w:tcW w:type="dxa" w:w="4608"/>
            <w:tcMar>
              <w:top w:w="100" w:type="dxa"/>
              <w:start w:w="120" w:type="dxa"/>
              <w:bottom w:w="100" w:type="dxa"/>
              <w:end w:w="120" w:type="dxa"/>
            </w:tcMar>
            <w:vAlign w:val="center"/>
          </w:tcPr>
          <w:p>
            <w:r>
              <w:rPr>
                <w:color w:val="1F2937"/>
                <w:sz w:val="18"/>
              </w:rPr>
              <w:t>High-availability orchestration not present in the package</w:t>
            </w:r>
          </w:p>
        </w:tc>
      </w:tr>
    </w:tbl>
    <w:p>
      <w:pPr>
        <w:spacing w:after="40"/>
      </w:pPr>
    </w:p>
    <w:p>
      <w:pPr>
        <w:pStyle w:val="Heading1"/>
      </w:pPr>
      <w:r>
        <w:t>3 Stakeholders actors and permissions</w:t>
      </w:r>
    </w:p>
    <w:p>
      <w:pPr>
        <w:spacing w:after="140" w:line="259" w:lineRule="auto"/>
      </w:pPr>
      <w:r>
        <w:t>The platform uses role-based permissions combined with organization, project and agent allowlists. Administrators receive wildcard access; custom users receive only the permissions and selected scopes assigned to them.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17365D"/>
            <w:tcMar>
              <w:top w:w="100" w:type="dxa"/>
              <w:start w:w="120" w:type="dxa"/>
              <w:bottom w:w="100" w:type="dxa"/>
              <w:end w:w="120" w:type="dxa"/>
            </w:tcMar>
            <w:vAlign w:val="center"/>
          </w:tcPr>
          <w:p>
            <w:pPr>
              <w:jc w:val="center"/>
            </w:pPr>
            <w:r>
              <w:rPr>
                <w:b/>
                <w:color w:val="FFFFFF"/>
                <w:sz w:val="18"/>
              </w:rPr>
              <w:t>Actor or role</w:t>
            </w:r>
          </w:p>
        </w:tc>
        <w:tc>
          <w:tcPr>
            <w:tcW w:type="dxa" w:w="4896"/>
            <w:shd w:fill="17365D"/>
            <w:tcMar>
              <w:top w:w="100" w:type="dxa"/>
              <w:start w:w="120" w:type="dxa"/>
              <w:bottom w:w="100" w:type="dxa"/>
              <w:end w:w="120" w:type="dxa"/>
            </w:tcMar>
            <w:vAlign w:val="center"/>
          </w:tcPr>
          <w:p>
            <w:pPr>
              <w:jc w:val="center"/>
            </w:pPr>
            <w:r>
              <w:rPr>
                <w:b/>
                <w:color w:val="FFFFFF"/>
                <w:sz w:val="18"/>
              </w:rPr>
              <w:t>Responsibilities</w:t>
            </w:r>
          </w:p>
        </w:tc>
        <w:tc>
          <w:tcPr>
            <w:tcW w:type="dxa" w:w="2304"/>
            <w:shd w:fill="17365D"/>
            <w:tcMar>
              <w:top w:w="100" w:type="dxa"/>
              <w:start w:w="120" w:type="dxa"/>
              <w:bottom w:w="100" w:type="dxa"/>
              <w:end w:w="120" w:type="dxa"/>
            </w:tcMar>
            <w:vAlign w:val="center"/>
          </w:tcPr>
          <w:p>
            <w:pPr>
              <w:jc w:val="center"/>
            </w:pPr>
            <w:r>
              <w:rPr>
                <w:b/>
                <w:color w:val="FFFFFF"/>
                <w:sz w:val="18"/>
              </w:rPr>
              <w:t>Primary permissions</w:t>
            </w:r>
          </w:p>
        </w:tc>
      </w:tr>
      <w:tr>
        <w:tc>
          <w:tcPr>
            <w:tcW w:type="dxa" w:w="2016"/>
            <w:tcMar>
              <w:top w:w="100" w:type="dxa"/>
              <w:start w:w="120" w:type="dxa"/>
              <w:bottom w:w="100" w:type="dxa"/>
              <w:end w:w="120" w:type="dxa"/>
            </w:tcMar>
            <w:vAlign w:val="center"/>
          </w:tcPr>
          <w:p>
            <w:r>
              <w:rPr>
                <w:color w:val="1F2937"/>
                <w:sz w:val="18"/>
              </w:rPr>
              <w:t>Administrator</w:t>
            </w:r>
          </w:p>
        </w:tc>
        <w:tc>
          <w:tcPr>
            <w:tcW w:type="dxa" w:w="4896"/>
            <w:tcMar>
              <w:top w:w="100" w:type="dxa"/>
              <w:start w:w="120" w:type="dxa"/>
              <w:bottom w:w="100" w:type="dxa"/>
              <w:end w:w="120" w:type="dxa"/>
            </w:tcMar>
            <w:vAlign w:val="center"/>
          </w:tcPr>
          <w:p>
            <w:r>
              <w:rPr>
                <w:color w:val="1F2937"/>
                <w:sz w:val="18"/>
              </w:rPr>
              <w:t>Bootstrap, users, projects, experts, deployments, connectors and recovery</w:t>
            </w:r>
          </w:p>
        </w:tc>
        <w:tc>
          <w:tcPr>
            <w:tcW w:type="dxa" w:w="2304"/>
            <w:tcMar>
              <w:top w:w="100" w:type="dxa"/>
              <w:start w:w="120" w:type="dxa"/>
              <w:bottom w:w="100" w:type="dxa"/>
              <w:end w:w="120" w:type="dxa"/>
            </w:tcMar>
            <w:vAlign w:val="center"/>
          </w:tcPr>
          <w:p>
            <w:r>
              <w:rPr>
                <w:color w:val="1F2937"/>
                <w:sz w:val="18"/>
              </w:rPr>
              <w:t>All seven capabilities; wildcard scope</w:t>
            </w:r>
          </w:p>
        </w:tc>
      </w:tr>
      <w:tr>
        <w:tc>
          <w:tcPr>
            <w:tcW w:type="dxa" w:w="2016"/>
            <w:tcMar>
              <w:top w:w="100" w:type="dxa"/>
              <w:start w:w="120" w:type="dxa"/>
              <w:bottom w:w="100" w:type="dxa"/>
              <w:end w:w="120" w:type="dxa"/>
            </w:tcMar>
            <w:vAlign w:val="center"/>
            <w:shd w:fill="F7F9FC"/>
          </w:tcPr>
          <w:p>
            <w:r>
              <w:rPr>
                <w:color w:val="1F2937"/>
                <w:sz w:val="18"/>
              </w:rPr>
              <w:t>Project operator</w:t>
            </w:r>
          </w:p>
        </w:tc>
        <w:tc>
          <w:tcPr>
            <w:tcW w:type="dxa" w:w="4896"/>
            <w:tcMar>
              <w:top w:w="100" w:type="dxa"/>
              <w:start w:w="120" w:type="dxa"/>
              <w:bottom w:w="100" w:type="dxa"/>
              <w:end w:w="120" w:type="dxa"/>
            </w:tcMar>
            <w:vAlign w:val="center"/>
            <w:shd w:fill="F7F9FC"/>
          </w:tcPr>
          <w:p>
            <w:r>
              <w:rPr>
                <w:color w:val="1F2937"/>
                <w:sz w:val="18"/>
              </w:rPr>
              <w:t>Use assigned experts and inspect project activity</w:t>
            </w:r>
          </w:p>
        </w:tc>
        <w:tc>
          <w:tcPr>
            <w:tcW w:type="dxa" w:w="2304"/>
            <w:tcMar>
              <w:top w:w="100" w:type="dxa"/>
              <w:start w:w="120" w:type="dxa"/>
              <w:bottom w:w="100" w:type="dxa"/>
              <w:end w:w="120" w:type="dxa"/>
            </w:tcMar>
            <w:vAlign w:val="center"/>
            <w:shd w:fill="F7F9FC"/>
          </w:tcPr>
          <w:p>
            <w:r>
              <w:rPr>
                <w:color w:val="1F2937"/>
                <w:sz w:val="18"/>
              </w:rPr>
              <w:t>agents.chat, activity.view</w:t>
            </w:r>
          </w:p>
        </w:tc>
      </w:tr>
      <w:tr>
        <w:tc>
          <w:tcPr>
            <w:tcW w:type="dxa" w:w="2016"/>
            <w:tcMar>
              <w:top w:w="100" w:type="dxa"/>
              <w:start w:w="120" w:type="dxa"/>
              <w:bottom w:w="100" w:type="dxa"/>
              <w:end w:w="120" w:type="dxa"/>
            </w:tcMar>
            <w:vAlign w:val="center"/>
          </w:tcPr>
          <w:p>
            <w:r>
              <w:rPr>
                <w:color w:val="1F2937"/>
                <w:sz w:val="18"/>
              </w:rPr>
              <w:t>Project/file manager</w:t>
            </w:r>
          </w:p>
        </w:tc>
        <w:tc>
          <w:tcPr>
            <w:tcW w:type="dxa" w:w="4896"/>
            <w:tcMar>
              <w:top w:w="100" w:type="dxa"/>
              <w:start w:w="120" w:type="dxa"/>
              <w:bottom w:w="100" w:type="dxa"/>
              <w:end w:w="120" w:type="dxa"/>
            </w:tcMar>
            <w:vAlign w:val="center"/>
          </w:tcPr>
          <w:p>
            <w:r>
              <w:rPr>
                <w:color w:val="1F2937"/>
                <w:sz w:val="18"/>
              </w:rPr>
              <w:t>Maintain project files and document context</w:t>
            </w:r>
          </w:p>
        </w:tc>
        <w:tc>
          <w:tcPr>
            <w:tcW w:type="dxa" w:w="2304"/>
            <w:tcMar>
              <w:top w:w="100" w:type="dxa"/>
              <w:start w:w="120" w:type="dxa"/>
              <w:bottom w:w="100" w:type="dxa"/>
              <w:end w:w="120" w:type="dxa"/>
            </w:tcMar>
            <w:vAlign w:val="center"/>
          </w:tcPr>
          <w:p>
            <w:r>
              <w:rPr>
                <w:color w:val="1F2937"/>
                <w:sz w:val="18"/>
              </w:rPr>
              <w:t>files.manage, activity.view</w:t>
            </w:r>
          </w:p>
        </w:tc>
      </w:tr>
      <w:tr>
        <w:tc>
          <w:tcPr>
            <w:tcW w:type="dxa" w:w="2016"/>
            <w:tcMar>
              <w:top w:w="100" w:type="dxa"/>
              <w:start w:w="120" w:type="dxa"/>
              <w:bottom w:w="100" w:type="dxa"/>
              <w:end w:w="120" w:type="dxa"/>
            </w:tcMar>
            <w:vAlign w:val="center"/>
            <w:shd w:fill="F7F9FC"/>
          </w:tcPr>
          <w:p>
            <w:r>
              <w:rPr>
                <w:color w:val="1F2937"/>
                <w:sz w:val="18"/>
              </w:rPr>
              <w:t>Deployment manager</w:t>
            </w:r>
          </w:p>
        </w:tc>
        <w:tc>
          <w:tcPr>
            <w:tcW w:type="dxa" w:w="4896"/>
            <w:tcMar>
              <w:top w:w="100" w:type="dxa"/>
              <w:start w:w="120" w:type="dxa"/>
              <w:bottom w:w="100" w:type="dxa"/>
              <w:end w:w="120" w:type="dxa"/>
            </w:tcMar>
            <w:vAlign w:val="center"/>
            <w:shd w:fill="F7F9FC"/>
          </w:tcPr>
          <w:p>
            <w:r>
              <w:rPr>
                <w:color w:val="1F2937"/>
                <w:sz w:val="18"/>
              </w:rPr>
              <w:t>Compile or update pinned deployments and integrations</w:t>
            </w:r>
          </w:p>
        </w:tc>
        <w:tc>
          <w:tcPr>
            <w:tcW w:type="dxa" w:w="2304"/>
            <w:tcMar>
              <w:top w:w="100" w:type="dxa"/>
              <w:start w:w="120" w:type="dxa"/>
              <w:bottom w:w="100" w:type="dxa"/>
              <w:end w:w="120" w:type="dxa"/>
            </w:tcMar>
            <w:vAlign w:val="center"/>
            <w:shd w:fill="F7F9FC"/>
          </w:tcPr>
          <w:p>
            <w:r>
              <w:rPr>
                <w:color w:val="1F2937"/>
                <w:sz w:val="18"/>
              </w:rPr>
              <w:t>deployments.manage, connectors.manage</w:t>
            </w:r>
          </w:p>
        </w:tc>
      </w:tr>
      <w:tr>
        <w:tc>
          <w:tcPr>
            <w:tcW w:type="dxa" w:w="2016"/>
            <w:tcMar>
              <w:top w:w="100" w:type="dxa"/>
              <w:start w:w="120" w:type="dxa"/>
              <w:bottom w:w="100" w:type="dxa"/>
              <w:end w:w="120" w:type="dxa"/>
            </w:tcMar>
            <w:vAlign w:val="center"/>
          </w:tcPr>
          <w:p>
            <w:r>
              <w:rPr>
                <w:color w:val="1F2937"/>
                <w:sz w:val="18"/>
              </w:rPr>
              <w:t>Expert curator</w:t>
            </w:r>
          </w:p>
        </w:tc>
        <w:tc>
          <w:tcPr>
            <w:tcW w:type="dxa" w:w="4896"/>
            <w:tcMar>
              <w:top w:w="100" w:type="dxa"/>
              <w:start w:w="120" w:type="dxa"/>
              <w:bottom w:w="100" w:type="dxa"/>
              <w:end w:w="120" w:type="dxa"/>
            </w:tcMar>
            <w:vAlign w:val="center"/>
          </w:tcPr>
          <w:p>
            <w:r>
              <w:rPr>
                <w:color w:val="1F2937"/>
                <w:sz w:val="18"/>
              </w:rPr>
              <w:t>Maintain expert editions and component snapshots</w:t>
            </w:r>
          </w:p>
        </w:tc>
        <w:tc>
          <w:tcPr>
            <w:tcW w:type="dxa" w:w="2304"/>
            <w:tcMar>
              <w:top w:w="100" w:type="dxa"/>
              <w:start w:w="120" w:type="dxa"/>
              <w:bottom w:w="100" w:type="dxa"/>
              <w:end w:w="120" w:type="dxa"/>
            </w:tcMar>
            <w:vAlign w:val="center"/>
          </w:tcPr>
          <w:p>
            <w:r>
              <w:rPr>
                <w:color w:val="1F2937"/>
                <w:sz w:val="18"/>
              </w:rPr>
              <w:t>experts.manage</w:t>
            </w:r>
          </w:p>
        </w:tc>
      </w:tr>
      <w:tr>
        <w:tc>
          <w:tcPr>
            <w:tcW w:type="dxa" w:w="2016"/>
            <w:tcMar>
              <w:top w:w="100" w:type="dxa"/>
              <w:start w:w="120" w:type="dxa"/>
              <w:bottom w:w="100" w:type="dxa"/>
              <w:end w:w="120" w:type="dxa"/>
            </w:tcMar>
            <w:vAlign w:val="center"/>
            <w:shd w:fill="F7F9FC"/>
          </w:tcPr>
          <w:p>
            <w:r>
              <w:rPr>
                <w:color w:val="1F2937"/>
                <w:sz w:val="18"/>
              </w:rPr>
              <w:t>WhatsApp participant</w:t>
            </w:r>
          </w:p>
        </w:tc>
        <w:tc>
          <w:tcPr>
            <w:tcW w:type="dxa" w:w="4896"/>
            <w:tcMar>
              <w:top w:w="100" w:type="dxa"/>
              <w:start w:w="120" w:type="dxa"/>
              <w:bottom w:w="100" w:type="dxa"/>
              <w:end w:w="120" w:type="dxa"/>
            </w:tcMar>
            <w:vAlign w:val="center"/>
            <w:shd w:fill="F7F9FC"/>
          </w:tcPr>
          <w:p>
            <w:r>
              <w:rPr>
                <w:color w:val="1F2937"/>
                <w:sz w:val="18"/>
              </w:rPr>
              <w:t>Send a mention or reply in a bound project group</w:t>
            </w:r>
          </w:p>
        </w:tc>
        <w:tc>
          <w:tcPr>
            <w:tcW w:type="dxa" w:w="2304"/>
            <w:tcMar>
              <w:top w:w="100" w:type="dxa"/>
              <w:start w:w="120" w:type="dxa"/>
              <w:bottom w:w="100" w:type="dxa"/>
              <w:end w:w="120" w:type="dxa"/>
            </w:tcMar>
            <w:vAlign w:val="center"/>
            <w:shd w:fill="F7F9FC"/>
          </w:tcPr>
          <w:p>
            <w:r>
              <w:rPr>
                <w:color w:val="1F2937"/>
                <w:sz w:val="18"/>
              </w:rPr>
              <w:t>No browser role; bridge applies project binding</w:t>
            </w:r>
          </w:p>
        </w:tc>
      </w:tr>
      <w:tr>
        <w:tc>
          <w:tcPr>
            <w:tcW w:type="dxa" w:w="2016"/>
            <w:tcMar>
              <w:top w:w="100" w:type="dxa"/>
              <w:start w:w="120" w:type="dxa"/>
              <w:bottom w:w="100" w:type="dxa"/>
              <w:end w:w="120" w:type="dxa"/>
            </w:tcMar>
            <w:vAlign w:val="center"/>
          </w:tcPr>
          <w:p>
            <w:r>
              <w:rPr>
                <w:color w:val="1F2937"/>
                <w:sz w:val="18"/>
              </w:rPr>
              <w:t>Receiver operations team</w:t>
            </w:r>
          </w:p>
        </w:tc>
        <w:tc>
          <w:tcPr>
            <w:tcW w:type="dxa" w:w="4896"/>
            <w:tcMar>
              <w:top w:w="100" w:type="dxa"/>
              <w:start w:w="120" w:type="dxa"/>
              <w:bottom w:w="100" w:type="dxa"/>
              <w:end w:w="120" w:type="dxa"/>
            </w:tcMar>
            <w:vAlign w:val="center"/>
          </w:tcPr>
          <w:p>
            <w:r>
              <w:rPr>
                <w:color w:val="1F2937"/>
                <w:sz w:val="18"/>
              </w:rPr>
              <w:t>Restore, rotate secrets, schedule backups and validate health</w:t>
            </w:r>
          </w:p>
        </w:tc>
        <w:tc>
          <w:tcPr>
            <w:tcW w:type="dxa" w:w="2304"/>
            <w:tcMar>
              <w:top w:w="100" w:type="dxa"/>
              <w:start w:w="120" w:type="dxa"/>
              <w:bottom w:w="100" w:type="dxa"/>
              <w:end w:w="120" w:type="dxa"/>
            </w:tcMar>
            <w:vAlign w:val="center"/>
          </w:tcPr>
          <w:p>
            <w:r>
              <w:rPr>
                <w:color w:val="1F2937"/>
                <w:sz w:val="18"/>
              </w:rPr>
              <w:t>Host and Docker access</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7365D"/>
            <w:tcMar>
              <w:top w:w="100" w:type="dxa"/>
              <w:start w:w="120" w:type="dxa"/>
              <w:bottom w:w="100" w:type="dxa"/>
              <w:end w:w="120" w:type="dxa"/>
            </w:tcMar>
            <w:vAlign w:val="center"/>
          </w:tcPr>
          <w:p>
            <w:pPr>
              <w:jc w:val="center"/>
            </w:pPr>
            <w:r>
              <w:rPr>
                <w:b/>
                <w:color w:val="FFFFFF"/>
                <w:sz w:val="18"/>
              </w:rPr>
              <w:t>Capability key</w:t>
            </w:r>
          </w:p>
        </w:tc>
        <w:tc>
          <w:tcPr>
            <w:tcW w:type="dxa" w:w="6336"/>
            <w:shd w:fill="17365D"/>
            <w:tcMar>
              <w:top w:w="100" w:type="dxa"/>
              <w:start w:w="120" w:type="dxa"/>
              <w:bottom w:w="100" w:type="dxa"/>
              <w:end w:w="120" w:type="dxa"/>
            </w:tcMar>
            <w:vAlign w:val="center"/>
          </w:tcPr>
          <w:p>
            <w:pPr>
              <w:jc w:val="center"/>
            </w:pPr>
            <w:r>
              <w:rPr>
                <w:b/>
                <w:color w:val="FFFFFF"/>
                <w:sz w:val="18"/>
              </w:rPr>
              <w:t>Meaning</w:t>
            </w:r>
          </w:p>
        </w:tc>
      </w:tr>
      <w:tr>
        <w:tc>
          <w:tcPr>
            <w:tcW w:type="dxa" w:w="2880"/>
            <w:tcMar>
              <w:top w:w="100" w:type="dxa"/>
              <w:start w:w="120" w:type="dxa"/>
              <w:bottom w:w="100" w:type="dxa"/>
              <w:end w:w="120" w:type="dxa"/>
            </w:tcMar>
            <w:vAlign w:val="center"/>
          </w:tcPr>
          <w:p>
            <w:r>
              <w:rPr>
                <w:color w:val="1F2937"/>
                <w:sz w:val="18"/>
              </w:rPr>
              <w:t>experts.manage</w:t>
            </w:r>
          </w:p>
        </w:tc>
        <w:tc>
          <w:tcPr>
            <w:tcW w:type="dxa" w:w="6336"/>
            <w:tcMar>
              <w:top w:w="100" w:type="dxa"/>
              <w:start w:w="120" w:type="dxa"/>
              <w:bottom w:w="100" w:type="dxa"/>
              <w:end w:w="120" w:type="dxa"/>
            </w:tcMar>
            <w:vAlign w:val="center"/>
          </w:tcPr>
          <w:p>
            <w:r>
              <w:rPr>
                <w:color w:val="1F2937"/>
                <w:sz w:val="18"/>
              </w:rPr>
              <w:t>Create or update expert editions, skills, tools and lessons</w:t>
            </w:r>
          </w:p>
        </w:tc>
      </w:tr>
      <w:tr>
        <w:tc>
          <w:tcPr>
            <w:tcW w:type="dxa" w:w="2880"/>
            <w:tcMar>
              <w:top w:w="100" w:type="dxa"/>
              <w:start w:w="120" w:type="dxa"/>
              <w:bottom w:w="100" w:type="dxa"/>
              <w:end w:w="120" w:type="dxa"/>
            </w:tcMar>
            <w:vAlign w:val="center"/>
            <w:shd w:fill="F7F9FC"/>
          </w:tcPr>
          <w:p>
            <w:r>
              <w:rPr>
                <w:color w:val="1F2937"/>
                <w:sz w:val="18"/>
              </w:rPr>
              <w:t>projects.manage</w:t>
            </w:r>
          </w:p>
        </w:tc>
        <w:tc>
          <w:tcPr>
            <w:tcW w:type="dxa" w:w="6336"/>
            <w:tcMar>
              <w:top w:w="100" w:type="dxa"/>
              <w:start w:w="120" w:type="dxa"/>
              <w:bottom w:w="100" w:type="dxa"/>
              <w:end w:w="120" w:type="dxa"/>
            </w:tcMar>
            <w:vAlign w:val="center"/>
            <w:shd w:fill="F7F9FC"/>
          </w:tcPr>
          <w:p>
            <w:r>
              <w:rPr>
                <w:color w:val="1F2937"/>
                <w:sz w:val="18"/>
              </w:rPr>
              <w:t>Create projects and manage project membership and settings</w:t>
            </w:r>
          </w:p>
        </w:tc>
      </w:tr>
      <w:tr>
        <w:tc>
          <w:tcPr>
            <w:tcW w:type="dxa" w:w="2880"/>
            <w:tcMar>
              <w:top w:w="100" w:type="dxa"/>
              <w:start w:w="120" w:type="dxa"/>
              <w:bottom w:w="100" w:type="dxa"/>
              <w:end w:w="120" w:type="dxa"/>
            </w:tcMar>
            <w:vAlign w:val="center"/>
          </w:tcPr>
          <w:p>
            <w:r>
              <w:rPr>
                <w:color w:val="1F2937"/>
                <w:sz w:val="18"/>
              </w:rPr>
              <w:t>deployments.manage</w:t>
            </w:r>
          </w:p>
        </w:tc>
        <w:tc>
          <w:tcPr>
            <w:tcW w:type="dxa" w:w="6336"/>
            <w:tcMar>
              <w:top w:w="100" w:type="dxa"/>
              <w:start w:w="120" w:type="dxa"/>
              <w:bottom w:w="100" w:type="dxa"/>
              <w:end w:w="120" w:type="dxa"/>
            </w:tcMar>
            <w:vAlign w:val="center"/>
          </w:tcPr>
          <w:p>
            <w:r>
              <w:rPr>
                <w:color w:val="1F2937"/>
                <w:sz w:val="18"/>
              </w:rPr>
              <w:t>Create, compile and activate version-pinned deployments</w:t>
            </w:r>
          </w:p>
        </w:tc>
      </w:tr>
      <w:tr>
        <w:tc>
          <w:tcPr>
            <w:tcW w:type="dxa" w:w="2880"/>
            <w:tcMar>
              <w:top w:w="100" w:type="dxa"/>
              <w:start w:w="120" w:type="dxa"/>
              <w:bottom w:w="100" w:type="dxa"/>
              <w:end w:w="120" w:type="dxa"/>
            </w:tcMar>
            <w:vAlign w:val="center"/>
            <w:shd w:fill="F7F9FC"/>
          </w:tcPr>
          <w:p>
            <w:r>
              <w:rPr>
                <w:color w:val="1F2937"/>
                <w:sz w:val="18"/>
              </w:rPr>
              <w:t>files.manage</w:t>
            </w:r>
          </w:p>
        </w:tc>
        <w:tc>
          <w:tcPr>
            <w:tcW w:type="dxa" w:w="6336"/>
            <w:tcMar>
              <w:top w:w="100" w:type="dxa"/>
              <w:start w:w="120" w:type="dxa"/>
              <w:bottom w:w="100" w:type="dxa"/>
              <w:end w:w="120" w:type="dxa"/>
            </w:tcMar>
            <w:vAlign w:val="center"/>
            <w:shd w:fill="F7F9FC"/>
          </w:tcPr>
          <w:p>
            <w:r>
              <w:rPr>
                <w:color w:val="1F2937"/>
                <w:sz w:val="18"/>
              </w:rPr>
              <w:t>Upload, administer and download project files</w:t>
            </w:r>
          </w:p>
        </w:tc>
      </w:tr>
      <w:tr>
        <w:tc>
          <w:tcPr>
            <w:tcW w:type="dxa" w:w="2880"/>
            <w:tcMar>
              <w:top w:w="100" w:type="dxa"/>
              <w:start w:w="120" w:type="dxa"/>
              <w:bottom w:w="100" w:type="dxa"/>
              <w:end w:w="120" w:type="dxa"/>
            </w:tcMar>
            <w:vAlign w:val="center"/>
          </w:tcPr>
          <w:p>
            <w:r>
              <w:rPr>
                <w:color w:val="1F2937"/>
                <w:sz w:val="18"/>
              </w:rPr>
              <w:t>connectors.manage</w:t>
            </w:r>
          </w:p>
        </w:tc>
        <w:tc>
          <w:tcPr>
            <w:tcW w:type="dxa" w:w="6336"/>
            <w:tcMar>
              <w:top w:w="100" w:type="dxa"/>
              <w:start w:w="120" w:type="dxa"/>
              <w:bottom w:w="100" w:type="dxa"/>
              <w:end w:w="120" w:type="dxa"/>
            </w:tcMar>
            <w:vAlign w:val="center"/>
          </w:tcPr>
          <w:p>
            <w:r>
              <w:rPr>
                <w:color w:val="1F2937"/>
                <w:sz w:val="18"/>
              </w:rPr>
              <w:t>Configure model, network-drive, Hermes and WhatsApp connectors</w:t>
            </w:r>
          </w:p>
        </w:tc>
      </w:tr>
      <w:tr>
        <w:tc>
          <w:tcPr>
            <w:tcW w:type="dxa" w:w="2880"/>
            <w:tcMar>
              <w:top w:w="100" w:type="dxa"/>
              <w:start w:w="120" w:type="dxa"/>
              <w:bottom w:w="100" w:type="dxa"/>
              <w:end w:w="120" w:type="dxa"/>
            </w:tcMar>
            <w:vAlign w:val="center"/>
            <w:shd w:fill="F7F9FC"/>
          </w:tcPr>
          <w:p>
            <w:r>
              <w:rPr>
                <w:color w:val="1F2937"/>
                <w:sz w:val="18"/>
              </w:rPr>
              <w:t>agents.chat</w:t>
            </w:r>
          </w:p>
        </w:tc>
        <w:tc>
          <w:tcPr>
            <w:tcW w:type="dxa" w:w="6336"/>
            <w:tcMar>
              <w:top w:w="100" w:type="dxa"/>
              <w:start w:w="120" w:type="dxa"/>
              <w:bottom w:w="100" w:type="dxa"/>
              <w:end w:w="120" w:type="dxa"/>
            </w:tcMar>
            <w:vAlign w:val="center"/>
            <w:shd w:fill="F7F9FC"/>
          </w:tcPr>
          <w:p>
            <w:r>
              <w:rPr>
                <w:color w:val="1F2937"/>
                <w:sz w:val="18"/>
              </w:rPr>
              <w:t>Submit agent messages and access generated artifacts permitted by deployment scope</w:t>
            </w:r>
          </w:p>
        </w:tc>
      </w:tr>
      <w:tr>
        <w:tc>
          <w:tcPr>
            <w:tcW w:type="dxa" w:w="2880"/>
            <w:tcMar>
              <w:top w:w="100" w:type="dxa"/>
              <w:start w:w="120" w:type="dxa"/>
              <w:bottom w:w="100" w:type="dxa"/>
              <w:end w:w="120" w:type="dxa"/>
            </w:tcMar>
            <w:vAlign w:val="center"/>
          </w:tcPr>
          <w:p>
            <w:r>
              <w:rPr>
                <w:color w:val="1F2937"/>
                <w:sz w:val="18"/>
              </w:rPr>
              <w:t>activity.view</w:t>
            </w:r>
          </w:p>
        </w:tc>
        <w:tc>
          <w:tcPr>
            <w:tcW w:type="dxa" w:w="6336"/>
            <w:tcMar>
              <w:top w:w="100" w:type="dxa"/>
              <w:start w:w="120" w:type="dxa"/>
              <w:bottom w:w="100" w:type="dxa"/>
              <w:end w:w="120" w:type="dxa"/>
            </w:tcMar>
            <w:vAlign w:val="center"/>
          </w:tcPr>
          <w:p>
            <w:r>
              <w:rPr>
                <w:color w:val="1F2937"/>
                <w:sz w:val="18"/>
              </w:rPr>
              <w:t>Read activity and execution records</w:t>
            </w:r>
          </w:p>
        </w:tc>
      </w:tr>
    </w:tbl>
    <w:p>
      <w:pPr>
        <w:spacing w:after="40"/>
      </w:pPr>
    </w:p>
    <w:p>
      <w:pPr>
        <w:pStyle w:val="Heading1"/>
      </w:pPr>
      <w:r>
        <w:t>4 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936"/>
            <w:shd w:fill="17365D"/>
            <w:tcMar>
              <w:top w:w="100" w:type="dxa"/>
              <w:start w:w="120" w:type="dxa"/>
              <w:bottom w:w="100" w:type="dxa"/>
              <w:end w:w="120" w:type="dxa"/>
            </w:tcMar>
            <w:vAlign w:val="center"/>
          </w:tcPr>
          <w:p>
            <w:pPr>
              <w:jc w:val="center"/>
            </w:pPr>
            <w:r>
              <w:rPr>
                <w:b/>
                <w:color w:val="FFFFFF"/>
                <w:sz w:val="18"/>
              </w:rPr>
              <w:t>ID</w:t>
            </w:r>
          </w:p>
        </w:tc>
        <w:tc>
          <w:tcPr>
            <w:tcW w:type="dxa" w:w="6192"/>
            <w:shd w:fill="17365D"/>
            <w:tcMar>
              <w:top w:w="100" w:type="dxa"/>
              <w:start w:w="120" w:type="dxa"/>
              <w:bottom w:w="100" w:type="dxa"/>
              <w:end w:w="120" w:type="dxa"/>
            </w:tcMar>
            <w:vAlign w:val="center"/>
          </w:tcPr>
          <w:p>
            <w:pPr>
              <w:jc w:val="center"/>
            </w:pPr>
            <w:r>
              <w:rPr>
                <w:b/>
                <w:color w:val="FFFFFF"/>
                <w:sz w:val="18"/>
              </w:rPr>
              <w:t>Requirement</w:t>
            </w:r>
          </w:p>
        </w:tc>
        <w:tc>
          <w:tcPr>
            <w:tcW w:type="dxa" w:w="2088"/>
            <w:shd w:fill="17365D"/>
            <w:tcMar>
              <w:top w:w="100" w:type="dxa"/>
              <w:start w:w="120" w:type="dxa"/>
              <w:bottom w:w="100" w:type="dxa"/>
              <w:end w:w="120" w:type="dxa"/>
            </w:tcMar>
            <w:vAlign w:val="center"/>
          </w:tcPr>
          <w:p>
            <w:pPr>
              <w:jc w:val="center"/>
            </w:pPr>
            <w:r>
              <w:rPr>
                <w:b/>
                <w:color w:val="FFFFFF"/>
                <w:sz w:val="18"/>
              </w:rPr>
              <w:t>Status / evidence</w:t>
            </w:r>
          </w:p>
        </w:tc>
      </w:tr>
      <w:tr>
        <w:tc>
          <w:tcPr>
            <w:tcW w:type="dxa" w:w="936"/>
            <w:tcMar>
              <w:top w:w="100" w:type="dxa"/>
              <w:start w:w="120" w:type="dxa"/>
              <w:bottom w:w="100" w:type="dxa"/>
              <w:end w:w="120" w:type="dxa"/>
            </w:tcMar>
            <w:vAlign w:val="center"/>
          </w:tcPr>
          <w:p>
            <w:r>
              <w:rPr>
                <w:color w:val="1F2937"/>
                <w:sz w:val="18"/>
              </w:rPr>
              <w:t>FR-01</w:t>
            </w:r>
          </w:p>
        </w:tc>
        <w:tc>
          <w:tcPr>
            <w:tcW w:type="dxa" w:w="6192"/>
            <w:tcMar>
              <w:top w:w="100" w:type="dxa"/>
              <w:start w:w="120" w:type="dxa"/>
              <w:bottom w:w="100" w:type="dxa"/>
              <w:end w:w="120" w:type="dxa"/>
            </w:tcMar>
            <w:vAlign w:val="center"/>
          </w:tcPr>
          <w:p>
            <w:r>
              <w:rPr>
                <w:color w:val="1F2937"/>
                <w:sz w:val="18"/>
              </w:rPr>
              <w:t>Authenticate users with password-backed sessions and active-user checks.</w:t>
            </w:r>
          </w:p>
        </w:tc>
        <w:tc>
          <w:tcPr>
            <w:tcW w:type="dxa" w:w="2088"/>
            <w:tcMar>
              <w:top w:w="100" w:type="dxa"/>
              <w:start w:w="120" w:type="dxa"/>
              <w:bottom w:w="100" w:type="dxa"/>
              <w:end w:w="120" w:type="dxa"/>
            </w:tcMar>
            <w:vAlign w:val="center"/>
          </w:tcPr>
          <w:p>
            <w:r>
              <w:rPr>
                <w:color w:val="1F2937"/>
                <w:sz w:val="18"/>
              </w:rPr>
              <w:t>Implemented in security.js and server login routes.</w:t>
            </w:r>
          </w:p>
        </w:tc>
      </w:tr>
      <w:tr>
        <w:tc>
          <w:tcPr>
            <w:tcW w:type="dxa" w:w="936"/>
            <w:tcMar>
              <w:top w:w="100" w:type="dxa"/>
              <w:start w:w="120" w:type="dxa"/>
              <w:bottom w:w="100" w:type="dxa"/>
              <w:end w:w="120" w:type="dxa"/>
            </w:tcMar>
            <w:vAlign w:val="center"/>
            <w:shd w:fill="F7F9FC"/>
          </w:tcPr>
          <w:p>
            <w:r>
              <w:rPr>
                <w:color w:val="1F2937"/>
                <w:sz w:val="18"/>
              </w:rPr>
              <w:t>FR-02</w:t>
            </w:r>
          </w:p>
        </w:tc>
        <w:tc>
          <w:tcPr>
            <w:tcW w:type="dxa" w:w="6192"/>
            <w:tcMar>
              <w:top w:w="100" w:type="dxa"/>
              <w:start w:w="120" w:type="dxa"/>
              <w:bottom w:w="100" w:type="dxa"/>
              <w:end w:w="120" w:type="dxa"/>
            </w:tcMar>
            <w:vAlign w:val="center"/>
            <w:shd w:fill="F7F9FC"/>
          </w:tcPr>
          <w:p>
            <w:r>
              <w:rPr>
                <w:color w:val="1F2937"/>
                <w:sz w:val="18"/>
              </w:rPr>
              <w:t>Enforce role, organization, project and agent scope on control-plane operations.</w:t>
            </w:r>
          </w:p>
        </w:tc>
        <w:tc>
          <w:tcPr>
            <w:tcW w:type="dxa" w:w="2088"/>
            <w:tcMar>
              <w:top w:w="100" w:type="dxa"/>
              <w:start w:w="120" w:type="dxa"/>
              <w:bottom w:w="100" w:type="dxa"/>
              <w:end w:w="120" w:type="dxa"/>
            </w:tcMar>
            <w:vAlign w:val="center"/>
            <w:shd w:fill="F7F9FC"/>
          </w:tcPr>
          <w:p>
            <w:r>
              <w:rPr>
                <w:color w:val="1F2937"/>
                <w:sz w:val="18"/>
              </w:rPr>
              <w:t>Implemented; test coverage includes admin/member boundaries.</w:t>
            </w:r>
          </w:p>
        </w:tc>
      </w:tr>
      <w:tr>
        <w:tc>
          <w:tcPr>
            <w:tcW w:type="dxa" w:w="936"/>
            <w:tcMar>
              <w:top w:w="100" w:type="dxa"/>
              <w:start w:w="120" w:type="dxa"/>
              <w:bottom w:w="100" w:type="dxa"/>
              <w:end w:w="120" w:type="dxa"/>
            </w:tcMar>
            <w:vAlign w:val="center"/>
          </w:tcPr>
          <w:p>
            <w:r>
              <w:rPr>
                <w:color w:val="1F2937"/>
                <w:sz w:val="18"/>
              </w:rPr>
              <w:t>FR-03</w:t>
            </w:r>
          </w:p>
        </w:tc>
        <w:tc>
          <w:tcPr>
            <w:tcW w:type="dxa" w:w="6192"/>
            <w:tcMar>
              <w:top w:w="100" w:type="dxa"/>
              <w:start w:w="120" w:type="dxa"/>
              <w:bottom w:w="100" w:type="dxa"/>
              <w:end w:w="120" w:type="dxa"/>
            </w:tcMar>
            <w:vAlign w:val="center"/>
          </w:tcPr>
          <w:p>
            <w:r>
              <w:rPr>
                <w:color w:val="1F2937"/>
                <w:sz w:val="18"/>
              </w:rPr>
              <w:t>Compile immutable deployment manifests from expert editions, pinned components, lessons, templates, channels and execution settings.</w:t>
            </w:r>
          </w:p>
        </w:tc>
        <w:tc>
          <w:tcPr>
            <w:tcW w:type="dxa" w:w="2088"/>
            <w:tcMar>
              <w:top w:w="100" w:type="dxa"/>
              <w:start w:w="120" w:type="dxa"/>
              <w:bottom w:w="100" w:type="dxa"/>
              <w:end w:w="120" w:type="dxa"/>
            </w:tcMar>
            <w:vAlign w:val="center"/>
          </w:tcPr>
          <w:p>
            <w:r>
              <w:rPr>
                <w:color w:val="1F2937"/>
                <w:sz w:val="18"/>
              </w:rPr>
              <w:t>Implemented; manifest revision and SHA-256 hash are persisted.</w:t>
            </w:r>
          </w:p>
        </w:tc>
      </w:tr>
      <w:tr>
        <w:tc>
          <w:tcPr>
            <w:tcW w:type="dxa" w:w="936"/>
            <w:tcMar>
              <w:top w:w="100" w:type="dxa"/>
              <w:start w:w="120" w:type="dxa"/>
              <w:bottom w:w="100" w:type="dxa"/>
              <w:end w:w="120" w:type="dxa"/>
            </w:tcMar>
            <w:vAlign w:val="center"/>
            <w:shd w:fill="F7F9FC"/>
          </w:tcPr>
          <w:p>
            <w:r>
              <w:rPr>
                <w:color w:val="1F2937"/>
                <w:sz w:val="18"/>
              </w:rPr>
              <w:t>FR-04</w:t>
            </w:r>
          </w:p>
        </w:tc>
        <w:tc>
          <w:tcPr>
            <w:tcW w:type="dxa" w:w="6192"/>
            <w:tcMar>
              <w:top w:w="100" w:type="dxa"/>
              <w:start w:w="120" w:type="dxa"/>
              <w:bottom w:w="100" w:type="dxa"/>
              <w:end w:w="120" w:type="dxa"/>
            </w:tcMar>
            <w:vAlign w:val="center"/>
            <w:shd w:fill="F7F9FC"/>
          </w:tcPr>
          <w:p>
            <w:r>
              <w:rPr>
                <w:color w:val="1F2937"/>
                <w:sz w:val="18"/>
              </w:rPr>
              <w:t>Retrieve project-scoped documents and chunks while respecting deployment/private visibility.</w:t>
            </w:r>
          </w:p>
        </w:tc>
        <w:tc>
          <w:tcPr>
            <w:tcW w:type="dxa" w:w="2088"/>
            <w:tcMar>
              <w:top w:w="100" w:type="dxa"/>
              <w:start w:w="120" w:type="dxa"/>
              <w:bottom w:w="100" w:type="dxa"/>
              <w:end w:w="120" w:type="dxa"/>
            </w:tcMar>
            <w:vAlign w:val="center"/>
            <w:shd w:fill="F7F9FC"/>
          </w:tcPr>
          <w:p>
            <w:r>
              <w:rPr>
                <w:color w:val="1F2937"/>
                <w:sz w:val="18"/>
              </w:rPr>
              <w:t>Implemented; retrieval index reports 13 documents and 69 chunks in captured state.</w:t>
            </w:r>
          </w:p>
        </w:tc>
      </w:tr>
      <w:tr>
        <w:tc>
          <w:tcPr>
            <w:tcW w:type="dxa" w:w="936"/>
            <w:tcMar>
              <w:top w:w="100" w:type="dxa"/>
              <w:start w:w="120" w:type="dxa"/>
              <w:bottom w:w="100" w:type="dxa"/>
              <w:end w:w="120" w:type="dxa"/>
            </w:tcMar>
            <w:vAlign w:val="center"/>
          </w:tcPr>
          <w:p>
            <w:r>
              <w:rPr>
                <w:color w:val="1F2937"/>
                <w:sz w:val="18"/>
              </w:rPr>
              <w:t>FR-05</w:t>
            </w:r>
          </w:p>
        </w:tc>
        <w:tc>
          <w:tcPr>
            <w:tcW w:type="dxa" w:w="6192"/>
            <w:tcMar>
              <w:top w:w="100" w:type="dxa"/>
              <w:start w:w="120" w:type="dxa"/>
              <w:bottom w:w="100" w:type="dxa"/>
              <w:end w:w="120" w:type="dxa"/>
            </w:tcMar>
            <w:vAlign w:val="center"/>
          </w:tcPr>
          <w:p>
            <w:r>
              <w:rPr>
                <w:color w:val="1F2937"/>
                <w:sz w:val="18"/>
              </w:rPr>
              <w:t>Execute through a direct OpenAI-compatible provider or bounded Hermes request.</w:t>
            </w:r>
          </w:p>
        </w:tc>
        <w:tc>
          <w:tcPr>
            <w:tcW w:type="dxa" w:w="2088"/>
            <w:tcMar>
              <w:top w:w="100" w:type="dxa"/>
              <w:start w:w="120" w:type="dxa"/>
              <w:bottom w:w="100" w:type="dxa"/>
              <w:end w:w="120" w:type="dxa"/>
            </w:tcMar>
            <w:vAlign w:val="center"/>
          </w:tcPr>
          <w:p>
            <w:r>
              <w:rPr>
                <w:color w:val="1F2937"/>
                <w:sz w:val="18"/>
              </w:rPr>
              <w:t>Implemented; Hermes runtime modes are local-cli, external and reference.</w:t>
            </w:r>
          </w:p>
        </w:tc>
      </w:tr>
      <w:tr>
        <w:tc>
          <w:tcPr>
            <w:tcW w:type="dxa" w:w="936"/>
            <w:tcMar>
              <w:top w:w="100" w:type="dxa"/>
              <w:start w:w="120" w:type="dxa"/>
              <w:bottom w:w="100" w:type="dxa"/>
              <w:end w:w="120" w:type="dxa"/>
            </w:tcMar>
            <w:vAlign w:val="center"/>
            <w:shd w:fill="F7F9FC"/>
          </w:tcPr>
          <w:p>
            <w:r>
              <w:rPr>
                <w:color w:val="1F2937"/>
                <w:sz w:val="18"/>
              </w:rPr>
              <w:t>FR-06</w:t>
            </w:r>
          </w:p>
        </w:tc>
        <w:tc>
          <w:tcPr>
            <w:tcW w:type="dxa" w:w="6192"/>
            <w:tcMar>
              <w:top w:w="100" w:type="dxa"/>
              <w:start w:w="120" w:type="dxa"/>
              <w:bottom w:w="100" w:type="dxa"/>
              <w:end w:w="120" w:type="dxa"/>
            </w:tcMar>
            <w:vAlign w:val="center"/>
            <w:shd w:fill="F7F9FC"/>
          </w:tcPr>
          <w:p>
            <w:r>
              <w:rPr>
                <w:color w:val="1F2937"/>
                <w:sz w:val="18"/>
              </w:rPr>
              <w:t>Require explicit approval for selected tool calls and reject approval bypass.</w:t>
            </w:r>
          </w:p>
        </w:tc>
        <w:tc>
          <w:tcPr>
            <w:tcW w:type="dxa" w:w="2088"/>
            <w:tcMar>
              <w:top w:w="100" w:type="dxa"/>
              <w:start w:w="120" w:type="dxa"/>
              <w:bottom w:w="100" w:type="dxa"/>
              <w:end w:w="120" w:type="dxa"/>
            </w:tcMar>
            <w:vAlign w:val="center"/>
            <w:shd w:fill="F7F9FC"/>
          </w:tcPr>
          <w:p>
            <w:r>
              <w:rPr>
                <w:color w:val="1F2937"/>
                <w:sz w:val="18"/>
              </w:rPr>
              <w:t>Implemented in tool approval and Hermes request handling.</w:t>
            </w:r>
          </w:p>
        </w:tc>
      </w:tr>
      <w:tr>
        <w:tc>
          <w:tcPr>
            <w:tcW w:type="dxa" w:w="936"/>
            <w:tcMar>
              <w:top w:w="100" w:type="dxa"/>
              <w:start w:w="120" w:type="dxa"/>
              <w:bottom w:w="100" w:type="dxa"/>
              <w:end w:w="120" w:type="dxa"/>
            </w:tcMar>
            <w:vAlign w:val="center"/>
          </w:tcPr>
          <w:p>
            <w:r>
              <w:rPr>
                <w:color w:val="1F2937"/>
                <w:sz w:val="18"/>
              </w:rPr>
              <w:t>FR-07</w:t>
            </w:r>
          </w:p>
        </w:tc>
        <w:tc>
          <w:tcPr>
            <w:tcW w:type="dxa" w:w="6192"/>
            <w:tcMar>
              <w:top w:w="100" w:type="dxa"/>
              <w:start w:w="120" w:type="dxa"/>
              <w:bottom w:w="100" w:type="dxa"/>
              <w:end w:w="120" w:type="dxa"/>
            </w:tcMar>
            <w:vAlign w:val="center"/>
          </w:tcPr>
          <w:p>
            <w:r>
              <w:rPr>
                <w:color w:val="1F2937"/>
                <w:sz w:val="18"/>
              </w:rPr>
              <w:t>Render validated DOCX/PDF/SVG artifacts from managed templates.</w:t>
            </w:r>
          </w:p>
        </w:tc>
        <w:tc>
          <w:tcPr>
            <w:tcW w:type="dxa" w:w="2088"/>
            <w:tcMar>
              <w:top w:w="100" w:type="dxa"/>
              <w:start w:w="120" w:type="dxa"/>
              <w:bottom w:w="100" w:type="dxa"/>
              <w:end w:w="120" w:type="dxa"/>
            </w:tcMar>
            <w:vAlign w:val="center"/>
          </w:tcPr>
          <w:p>
            <w:r>
              <w:rPr>
                <w:color w:val="1F2937"/>
                <w:sz w:val="18"/>
              </w:rPr>
              <w:t>Implemented; LibreOffice conversion is a runtime dependency.</w:t>
            </w:r>
          </w:p>
        </w:tc>
      </w:tr>
      <w:tr>
        <w:tc>
          <w:tcPr>
            <w:tcW w:type="dxa" w:w="936"/>
            <w:tcMar>
              <w:top w:w="100" w:type="dxa"/>
              <w:start w:w="120" w:type="dxa"/>
              <w:bottom w:w="100" w:type="dxa"/>
              <w:end w:w="120" w:type="dxa"/>
            </w:tcMar>
            <w:vAlign w:val="center"/>
            <w:shd w:fill="F7F9FC"/>
          </w:tcPr>
          <w:p>
            <w:r>
              <w:rPr>
                <w:color w:val="1F2937"/>
                <w:sz w:val="18"/>
              </w:rPr>
              <w:t>FR-08</w:t>
            </w:r>
          </w:p>
        </w:tc>
        <w:tc>
          <w:tcPr>
            <w:tcW w:type="dxa" w:w="6192"/>
            <w:tcMar>
              <w:top w:w="100" w:type="dxa"/>
              <w:start w:w="120" w:type="dxa"/>
              <w:bottom w:w="100" w:type="dxa"/>
              <w:end w:w="120" w:type="dxa"/>
            </w:tcMar>
            <w:vAlign w:val="center"/>
            <w:shd w:fill="F7F9FC"/>
          </w:tcPr>
          <w:p>
            <w:r>
              <w:rPr>
                <w:color w:val="1F2937"/>
                <w:sz w:val="18"/>
              </w:rPr>
              <w:t>Pair WhatsApp sessions, bind groups to projects and deliver text/documents with acknowledgements.</w:t>
            </w:r>
          </w:p>
        </w:tc>
        <w:tc>
          <w:tcPr>
            <w:tcW w:type="dxa" w:w="2088"/>
            <w:tcMar>
              <w:top w:w="100" w:type="dxa"/>
              <w:start w:w="120" w:type="dxa"/>
              <w:bottom w:w="100" w:type="dxa"/>
              <w:end w:w="120" w:type="dxa"/>
            </w:tcMar>
            <w:vAlign w:val="center"/>
            <w:shd w:fill="F7F9FC"/>
          </w:tcPr>
          <w:p>
            <w:r>
              <w:rPr>
                <w:color w:val="1F2937"/>
                <w:sz w:val="18"/>
              </w:rPr>
              <w:t>Implemented; receiver must verify captured session health.</w:t>
            </w:r>
          </w:p>
        </w:tc>
      </w:tr>
      <w:tr>
        <w:tc>
          <w:tcPr>
            <w:tcW w:type="dxa" w:w="936"/>
            <w:tcMar>
              <w:top w:w="100" w:type="dxa"/>
              <w:start w:w="120" w:type="dxa"/>
              <w:bottom w:w="100" w:type="dxa"/>
              <w:end w:w="120" w:type="dxa"/>
            </w:tcMar>
            <w:vAlign w:val="center"/>
          </w:tcPr>
          <w:p>
            <w:r>
              <w:rPr>
                <w:color w:val="1F2937"/>
                <w:sz w:val="18"/>
              </w:rPr>
              <w:t>FR-09</w:t>
            </w:r>
          </w:p>
        </w:tc>
        <w:tc>
          <w:tcPr>
            <w:tcW w:type="dxa" w:w="6192"/>
            <w:tcMar>
              <w:top w:w="100" w:type="dxa"/>
              <w:start w:w="120" w:type="dxa"/>
              <w:bottom w:w="100" w:type="dxa"/>
              <w:end w:w="120" w:type="dxa"/>
            </w:tcMar>
            <w:vAlign w:val="center"/>
          </w:tcPr>
          <w:p>
            <w:r>
              <w:rPr>
                <w:color w:val="1F2937"/>
                <w:sz w:val="18"/>
              </w:rPr>
              <w:t>Record activity, execution traces, memory events, artifact QA and delivery state.</w:t>
            </w:r>
          </w:p>
        </w:tc>
        <w:tc>
          <w:tcPr>
            <w:tcW w:type="dxa" w:w="2088"/>
            <w:tcMar>
              <w:top w:w="100" w:type="dxa"/>
              <w:start w:w="120" w:type="dxa"/>
              <w:bottom w:w="100" w:type="dxa"/>
              <w:end w:w="120" w:type="dxa"/>
            </w:tcMar>
            <w:vAlign w:val="center"/>
          </w:tcPr>
          <w:p>
            <w:r>
              <w:rPr>
                <w:color w:val="1F2937"/>
                <w:sz w:val="18"/>
              </w:rPr>
              <w:t>Implemented in execution and activity records.</w:t>
            </w:r>
          </w:p>
        </w:tc>
      </w:tr>
      <w:tr>
        <w:tc>
          <w:tcPr>
            <w:tcW w:type="dxa" w:w="936"/>
            <w:tcMar>
              <w:top w:w="100" w:type="dxa"/>
              <w:start w:w="120" w:type="dxa"/>
              <w:bottom w:w="100" w:type="dxa"/>
              <w:end w:w="120" w:type="dxa"/>
            </w:tcMar>
            <w:vAlign w:val="center"/>
            <w:shd w:fill="F7F9FC"/>
          </w:tcPr>
          <w:p>
            <w:r>
              <w:rPr>
                <w:color w:val="1F2937"/>
                <w:sz w:val="18"/>
              </w:rPr>
              <w:t>FR-10</w:t>
            </w:r>
          </w:p>
        </w:tc>
        <w:tc>
          <w:tcPr>
            <w:tcW w:type="dxa" w:w="6192"/>
            <w:tcMar>
              <w:top w:w="100" w:type="dxa"/>
              <w:start w:w="120" w:type="dxa"/>
              <w:bottom w:w="100" w:type="dxa"/>
              <w:end w:w="120" w:type="dxa"/>
            </w:tcMar>
            <w:vAlign w:val="center"/>
            <w:shd w:fill="F7F9FC"/>
          </w:tcPr>
          <w:p>
            <w:r>
              <w:rPr>
                <w:color w:val="1F2937"/>
                <w:sz w:val="18"/>
              </w:rPr>
              <w:t>Back up and restore state and managed files.</w:t>
            </w:r>
          </w:p>
        </w:tc>
        <w:tc>
          <w:tcPr>
            <w:tcW w:type="dxa" w:w="2088"/>
            <w:tcMar>
              <w:top w:w="100" w:type="dxa"/>
              <w:start w:w="120" w:type="dxa"/>
              <w:bottom w:w="100" w:type="dxa"/>
              <w:end w:w="120" w:type="dxa"/>
            </w:tcMar>
            <w:vAlign w:val="center"/>
            <w:shd w:fill="F7F9FC"/>
          </w:tcPr>
          <w:p>
            <w:r>
              <w:rPr>
                <w:color w:val="1F2937"/>
                <w:sz w:val="18"/>
              </w:rPr>
              <w:t>Package includes logical PostgreSQL and file/runtime archives; receiver schedules recurring backups.</w:t>
            </w:r>
          </w:p>
        </w:tc>
      </w:tr>
    </w:tbl>
    <w:p>
      <w:pPr>
        <w:spacing w:after="40"/>
      </w:pPr>
    </w:p>
    <w:p>
      <w:pPr>
        <w:pStyle w:val="Heading1"/>
      </w:pPr>
      <w:r>
        <w:t>5 Nonfunctional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tcMar>
              <w:top w:w="100" w:type="dxa"/>
              <w:start w:w="120" w:type="dxa"/>
              <w:bottom w:w="100" w:type="dxa"/>
              <w:end w:w="120" w:type="dxa"/>
            </w:tcMar>
            <w:vAlign w:val="center"/>
          </w:tcPr>
          <w:p>
            <w:pPr>
              <w:jc w:val="center"/>
            </w:pPr>
            <w:r>
              <w:rPr>
                <w:b/>
                <w:color w:val="FFFFFF"/>
                <w:sz w:val="18"/>
              </w:rPr>
              <w:t>Quality attribute</w:t>
            </w:r>
          </w:p>
        </w:tc>
        <w:tc>
          <w:tcPr>
            <w:tcW w:type="dxa" w:w="7272"/>
            <w:shd w:fill="17365D"/>
            <w:tcMar>
              <w:top w:w="100" w:type="dxa"/>
              <w:start w:w="120" w:type="dxa"/>
              <w:bottom w:w="100" w:type="dxa"/>
              <w:end w:w="120" w:type="dxa"/>
            </w:tcMar>
            <w:vAlign w:val="center"/>
          </w:tcPr>
          <w:p>
            <w:pPr>
              <w:jc w:val="center"/>
            </w:pPr>
            <w:r>
              <w:rPr>
                <w:b/>
                <w:color w:val="FFFFFF"/>
                <w:sz w:val="18"/>
              </w:rPr>
              <w:t>Design target and current qualification</w:t>
            </w:r>
          </w:p>
        </w:tc>
      </w:tr>
      <w:tr>
        <w:tc>
          <w:tcPr>
            <w:tcW w:type="dxa" w:w="1944"/>
            <w:tcMar>
              <w:top w:w="100" w:type="dxa"/>
              <w:start w:w="120" w:type="dxa"/>
              <w:bottom w:w="100" w:type="dxa"/>
              <w:end w:w="120" w:type="dxa"/>
            </w:tcMar>
            <w:vAlign w:val="center"/>
          </w:tcPr>
          <w:p>
            <w:r>
              <w:rPr>
                <w:color w:val="1F2937"/>
                <w:sz w:val="18"/>
              </w:rPr>
              <w:t>Security</w:t>
            </w:r>
          </w:p>
        </w:tc>
        <w:tc>
          <w:tcPr>
            <w:tcW w:type="dxa" w:w="7272"/>
            <w:tcMar>
              <w:top w:w="100" w:type="dxa"/>
              <w:start w:w="120" w:type="dxa"/>
              <w:bottom w:w="100" w:type="dxa"/>
              <w:end w:w="120" w:type="dxa"/>
            </w:tcMar>
            <w:vAlign w:val="center"/>
          </w:tcPr>
          <w:p>
            <w:r>
              <w:rPr>
                <w:color w:val="1F2937"/>
                <w:sz w:val="18"/>
              </w:rPr>
              <w:t>scrypt password hashes, AES-256-GCM connector secret encryption, HttpOnly cookies, scope checks, bridge tokens, loopback enforcement and shell-safe Hermes CLI.</w:t>
            </w:r>
          </w:p>
        </w:tc>
      </w:tr>
      <w:tr>
        <w:tc>
          <w:tcPr>
            <w:tcW w:type="dxa" w:w="1944"/>
            <w:tcMar>
              <w:top w:w="100" w:type="dxa"/>
              <w:start w:w="120" w:type="dxa"/>
              <w:bottom w:w="100" w:type="dxa"/>
              <w:end w:w="120" w:type="dxa"/>
            </w:tcMar>
            <w:vAlign w:val="center"/>
            <w:shd w:fill="F7F9FC"/>
          </w:tcPr>
          <w:p>
            <w:r>
              <w:rPr>
                <w:color w:val="1F2937"/>
                <w:sz w:val="18"/>
              </w:rPr>
              <w:t>Isolation</w:t>
            </w:r>
          </w:p>
        </w:tc>
        <w:tc>
          <w:tcPr>
            <w:tcW w:type="dxa" w:w="7272"/>
            <w:tcMar>
              <w:top w:w="100" w:type="dxa"/>
              <w:start w:w="120" w:type="dxa"/>
              <w:bottom w:w="100" w:type="dxa"/>
              <w:end w:w="120" w:type="dxa"/>
            </w:tcMar>
            <w:vAlign w:val="center"/>
            <w:shd w:fill="F7F9FC"/>
          </w:tcPr>
          <w:p>
            <w:r>
              <w:rPr>
                <w:color w:val="1F2937"/>
                <w:sz w:val="18"/>
              </w:rPr>
              <w:t>Project and deployment context boundaries; private document retrieval is deployment-aware; files.manage remains a broader project file administration privilege.</w:t>
            </w:r>
          </w:p>
        </w:tc>
      </w:tr>
      <w:tr>
        <w:tc>
          <w:tcPr>
            <w:tcW w:type="dxa" w:w="1944"/>
            <w:tcMar>
              <w:top w:w="100" w:type="dxa"/>
              <w:start w:w="120" w:type="dxa"/>
              <w:bottom w:w="100" w:type="dxa"/>
              <w:end w:w="120" w:type="dxa"/>
            </w:tcMar>
            <w:vAlign w:val="center"/>
          </w:tcPr>
          <w:p>
            <w:r>
              <w:rPr>
                <w:color w:val="1F2937"/>
                <w:sz w:val="18"/>
              </w:rPr>
              <w:t>Reliability</w:t>
            </w:r>
          </w:p>
        </w:tc>
        <w:tc>
          <w:tcPr>
            <w:tcW w:type="dxa" w:w="7272"/>
            <w:tcMar>
              <w:top w:w="100" w:type="dxa"/>
              <w:start w:w="120" w:type="dxa"/>
              <w:bottom w:w="100" w:type="dxa"/>
              <w:end w:w="120" w:type="dxa"/>
            </w:tcMar>
            <w:vAlign w:val="center"/>
          </w:tcPr>
          <w:p>
            <w:r>
              <w:rPr>
                <w:color w:val="1F2937"/>
                <w:sz w:val="18"/>
              </w:rPr>
              <w:t>PostgreSQL revision conflict detection, advisory locking, flush barriers and explicit lifecycle failures. Sessions and reset tokens remain process-local.</w:t>
            </w:r>
          </w:p>
        </w:tc>
      </w:tr>
      <w:tr>
        <w:tc>
          <w:tcPr>
            <w:tcW w:type="dxa" w:w="1944"/>
            <w:tcMar>
              <w:top w:w="100" w:type="dxa"/>
              <w:start w:w="120" w:type="dxa"/>
              <w:bottom w:w="100" w:type="dxa"/>
              <w:end w:w="120" w:type="dxa"/>
            </w:tcMar>
            <w:vAlign w:val="center"/>
            <w:shd w:fill="F7F9FC"/>
          </w:tcPr>
          <w:p>
            <w:r>
              <w:rPr>
                <w:color w:val="1F2937"/>
                <w:sz w:val="18"/>
              </w:rPr>
              <w:t>Performance</w:t>
            </w:r>
          </w:p>
        </w:tc>
        <w:tc>
          <w:tcPr>
            <w:tcW w:type="dxa" w:w="7272"/>
            <w:tcMar>
              <w:top w:w="100" w:type="dxa"/>
              <w:start w:w="120" w:type="dxa"/>
              <w:bottom w:w="100" w:type="dxa"/>
              <w:end w:w="120" w:type="dxa"/>
            </w:tcMar>
            <w:vAlign w:val="center"/>
            <w:shd w:fill="F7F9FC"/>
          </w:tcPr>
          <w:p>
            <w:r>
              <w:rPr>
                <w:color w:val="1F2937"/>
                <w:sz w:val="18"/>
              </w:rPr>
              <w:t>Bounded Hermes envelopes, capped transcript/context sizes and provider timeouts; scale-out behavior is not provided by in-memory sessions.</w:t>
            </w:r>
          </w:p>
        </w:tc>
      </w:tr>
      <w:tr>
        <w:tc>
          <w:tcPr>
            <w:tcW w:type="dxa" w:w="1944"/>
            <w:tcMar>
              <w:top w:w="100" w:type="dxa"/>
              <w:start w:w="120" w:type="dxa"/>
              <w:bottom w:w="100" w:type="dxa"/>
              <w:end w:w="120" w:type="dxa"/>
            </w:tcMar>
            <w:vAlign w:val="center"/>
          </w:tcPr>
          <w:p>
            <w:r>
              <w:rPr>
                <w:color w:val="1F2937"/>
                <w:sz w:val="18"/>
              </w:rPr>
              <w:t>Operability</w:t>
            </w:r>
          </w:p>
        </w:tc>
        <w:tc>
          <w:tcPr>
            <w:tcW w:type="dxa" w:w="7272"/>
            <w:tcMar>
              <w:top w:w="100" w:type="dxa"/>
              <w:start w:w="120" w:type="dxa"/>
              <w:bottom w:w="100" w:type="dxa"/>
              <w:end w:w="120" w:type="dxa"/>
            </w:tcMar>
            <w:vAlign w:val="center"/>
          </w:tcPr>
          <w:p>
            <w:r>
              <w:rPr>
                <w:color w:val="1F2937"/>
                <w:sz w:val="18"/>
              </w:rPr>
              <w:t>Docker Compose package, named volumes, health endpoints, logical dump scripts, checksums and restore guide.</w:t>
            </w:r>
          </w:p>
        </w:tc>
      </w:tr>
      <w:tr>
        <w:tc>
          <w:tcPr>
            <w:tcW w:type="dxa" w:w="1944"/>
            <w:tcMar>
              <w:top w:w="100" w:type="dxa"/>
              <w:start w:w="120" w:type="dxa"/>
              <w:bottom w:w="100" w:type="dxa"/>
              <w:end w:w="120" w:type="dxa"/>
            </w:tcMar>
            <w:vAlign w:val="center"/>
            <w:shd w:fill="F7F9FC"/>
          </w:tcPr>
          <w:p>
            <w:r>
              <w:rPr>
                <w:color w:val="1F2937"/>
                <w:sz w:val="18"/>
              </w:rPr>
              <w:t>Portability</w:t>
            </w:r>
          </w:p>
        </w:tc>
        <w:tc>
          <w:tcPr>
            <w:tcW w:type="dxa" w:w="7272"/>
            <w:tcMar>
              <w:top w:w="100" w:type="dxa"/>
              <w:start w:w="120" w:type="dxa"/>
              <w:bottom w:w="100" w:type="dxa"/>
              <w:end w:w="120" w:type="dxa"/>
            </w:tcMar>
            <w:vAlign w:val="center"/>
            <w:shd w:fill="F7F9FC"/>
          </w:tcPr>
          <w:p>
            <w:r>
              <w:rPr>
                <w:color w:val="1F2937"/>
                <w:sz w:val="18"/>
              </w:rPr>
              <w:t>Direct provider path uses HTTP(S); Hermes can run local CLI, external adapter or reference mode.</w:t>
            </w:r>
          </w:p>
        </w:tc>
      </w:tr>
      <w:tr>
        <w:tc>
          <w:tcPr>
            <w:tcW w:type="dxa" w:w="1944"/>
            <w:tcMar>
              <w:top w:w="100" w:type="dxa"/>
              <w:start w:w="120" w:type="dxa"/>
              <w:bottom w:w="100" w:type="dxa"/>
              <w:end w:w="120" w:type="dxa"/>
            </w:tcMar>
            <w:vAlign w:val="center"/>
          </w:tcPr>
          <w:p>
            <w:r>
              <w:rPr>
                <w:color w:val="1F2937"/>
                <w:sz w:val="18"/>
              </w:rPr>
              <w:t>Auditability</w:t>
            </w:r>
          </w:p>
        </w:tc>
        <w:tc>
          <w:tcPr>
            <w:tcW w:type="dxa" w:w="7272"/>
            <w:tcMar>
              <w:top w:w="100" w:type="dxa"/>
              <w:start w:w="120" w:type="dxa"/>
              <w:bottom w:w="100" w:type="dxa"/>
              <w:end w:w="120" w:type="dxa"/>
            </w:tcMar>
            <w:vAlign w:val="center"/>
          </w:tcPr>
          <w:p>
            <w:r>
              <w:rPr>
                <w:color w:val="1F2937"/>
                <w:sz w:val="18"/>
              </w:rPr>
              <w:t>Execution records include manifest hash/revision, traces, tool calls, memory events, QA findings and delivery acknowledgements.</w:t>
            </w:r>
          </w:p>
        </w:tc>
      </w:tr>
      <w:tr>
        <w:tc>
          <w:tcPr>
            <w:tcW w:type="dxa" w:w="1944"/>
            <w:tcMar>
              <w:top w:w="100" w:type="dxa"/>
              <w:start w:w="120" w:type="dxa"/>
              <w:bottom w:w="100" w:type="dxa"/>
              <w:end w:w="120" w:type="dxa"/>
            </w:tcMar>
            <w:vAlign w:val="center"/>
            <w:shd w:fill="F7F9FC"/>
          </w:tcPr>
          <w:p>
            <w:r>
              <w:rPr>
                <w:color w:val="1F2937"/>
                <w:sz w:val="18"/>
              </w:rPr>
              <w:t>Usability</w:t>
            </w:r>
          </w:p>
        </w:tc>
        <w:tc>
          <w:tcPr>
            <w:tcW w:type="dxa" w:w="7272"/>
            <w:tcMar>
              <w:top w:w="100" w:type="dxa"/>
              <w:start w:w="120" w:type="dxa"/>
              <w:bottom w:w="100" w:type="dxa"/>
              <w:end w:w="120" w:type="dxa"/>
            </w:tcMar>
            <w:vAlign w:val="center"/>
            <w:shd w:fill="F7F9FC"/>
          </w:tcPr>
          <w:p>
            <w:r>
              <w:rPr>
                <w:color w:val="1F2937"/>
                <w:sz w:val="18"/>
              </w:rPr>
              <w:t>SPA navigation covers Overview, Agent Chat, Expert Library, Component Library, Projects, Deployments, Project Files, Platform Settings, User Control and Activity.</w:t>
            </w:r>
          </w:p>
        </w:tc>
      </w:tr>
    </w:tbl>
    <w:p>
      <w:pPr>
        <w:spacing w:after="40"/>
      </w:pPr>
    </w:p>
    <w:p>
      <w:pPr>
        <w:pStyle w:val="Heading1"/>
      </w:pPr>
      <w:r>
        <w:t>6 System context</w:t>
      </w:r>
    </w:p>
    <w:p>
      <w:pPr>
        <w:spacing w:after="140" w:line="259" w:lineRule="auto"/>
      </w:pPr>
      <w:r>
        <w:t>Users interact through the control-plane browser application or through a WhatsApp group bound to a project deployment. The control plane owns authentication, authorization, orchestration, persistence and delivery decisions. Model providers and Hermes runtimes are external execution dependencies. Project data, runtime sessions and generated files remain in managed storage.</w:t>
      </w:r>
    </w:p>
    <w:p>
      <w:pPr>
        <w:spacing w:before="120" w:after="60"/>
        <w:jc w:val="center"/>
      </w:pPr>
      <w:r>
        <w:drawing>
          <wp:inline xmlns:a="http://schemas.openxmlformats.org/drawingml/2006/main" xmlns:pic="http://schemas.openxmlformats.org/drawingml/2006/picture">
            <wp:extent cx="5897880" cy="3538728"/>
            <wp:docPr id="1" name="Picture 1" descr="Image: image1.png"/>
            <wp:cNvGraphicFramePr>
              <a:graphicFrameLocks noChangeAspect="1"/>
            </wp:cNvGraphicFramePr>
            <a:graphic>
              <a:graphicData uri="http://schemas.openxmlformats.org/drawingml/2006/picture">
                <pic:pic>
                  <pic:nvPicPr>
                    <pic:cNvPr id="0" name="01-system-context.png"/>
                    <pic:cNvPicPr/>
                  </pic:nvPicPr>
                  <pic:blipFill>
                    <a:blip r:embed="rId9"/>
                    <a:stretch>
                      <a:fillRect/>
                    </a:stretch>
                  </pic:blipFill>
                  <pic:spPr>
                    <a:xfrm>
                      <a:off x="0" y="0"/>
                      <a:ext cx="5897880" cy="3538728"/>
                    </a:xfrm>
                    <a:prstGeom prst="rect"/>
                  </pic:spPr>
                </pic:pic>
              </a:graphicData>
            </a:graphic>
          </wp:inline>
        </w:drawing>
      </w:r>
    </w:p>
    <w:p>
      <w:pPr>
        <w:spacing w:after="200"/>
        <w:jc w:val="center"/>
      </w:pPr>
      <w:r>
        <w:rPr>
          <w:i/>
          <w:color w:val="595959"/>
          <w:sz w:val="18"/>
        </w:rPr>
        <w:t>Figure 1. System context and external actors</w:t>
      </w:r>
    </w:p>
    <w:p>
      <w:pPr>
        <w:pStyle w:val="Heading1"/>
      </w:pPr>
      <w:r>
        <w:t>7 Use case view</w:t>
      </w:r>
    </w:p>
    <w:p>
      <w:pPr>
        <w:spacing w:after="140" w:line="259" w:lineRule="auto"/>
      </w:pPr>
      <w:r>
        <w:t>The primary receiver-facing use cases are scope-aware authentication, expert chat, file administration, artifact generation, WhatsApp pairing and deployment/connectors management. A use case is complete only when the resulting activity and delivery state are persisted.</w:t>
      </w:r>
    </w:p>
    <w:p>
      <w:pPr>
        <w:spacing w:before="120" w:after="60"/>
        <w:jc w:val="center"/>
      </w:pPr>
      <w:r>
        <w:drawing>
          <wp:inline xmlns:a="http://schemas.openxmlformats.org/drawingml/2006/main" xmlns:pic="http://schemas.openxmlformats.org/drawingml/2006/picture">
            <wp:extent cx="5897880" cy="3538728"/>
            <wp:docPr id="2" name="Picture 2" descr="Image: image2.png"/>
            <wp:cNvGraphicFramePr>
              <a:graphicFrameLocks noChangeAspect="1"/>
            </wp:cNvGraphicFramePr>
            <a:graphic>
              <a:graphicData uri="http://schemas.openxmlformats.org/drawingml/2006/picture">
                <pic:pic>
                  <pic:nvPicPr>
                    <pic:cNvPr id="0" name="02-use-case-view.png"/>
                    <pic:cNvPicPr/>
                  </pic:nvPicPr>
                  <pic:blipFill>
                    <a:blip r:embed="rId10"/>
                    <a:stretch>
                      <a:fillRect/>
                    </a:stretch>
                  </pic:blipFill>
                  <pic:spPr>
                    <a:xfrm>
                      <a:off x="0" y="0"/>
                      <a:ext cx="5897880" cy="3538728"/>
                    </a:xfrm>
                    <a:prstGeom prst="rect"/>
                  </pic:spPr>
                </pic:pic>
              </a:graphicData>
            </a:graphic>
          </wp:inline>
        </w:drawing>
      </w:r>
    </w:p>
    <w:p>
      <w:pPr>
        <w:spacing w:after="200"/>
        <w:jc w:val="center"/>
      </w:pPr>
      <w:r>
        <w:rPr>
          <w:i/>
          <w:color w:val="595959"/>
          <w:sz w:val="18"/>
        </w:rPr>
        <w:t>Figure 2. Use case view</w:t>
      </w:r>
    </w:p>
    <w:p>
      <w:pPr>
        <w:pStyle w:val="Heading1"/>
      </w:pPr>
      <w:r>
        <w:t>8 Logical component architecture</w:t>
      </w:r>
    </w:p>
    <w:p>
      <w:pPr>
        <w:spacing w:after="140" w:line="259" w:lineRule="auto"/>
      </w:pPr>
      <w:r>
        <w:t>The SPA is a thin client over the control plane. The control plane composes domain contracts and adapters rather than allowing the model provider to define permissions. The store adapter allows the same orchestration logic to use PostgreSQL in the preserved Docker deployment or a JSON store for simpler local operation.</w:t>
      </w:r>
    </w:p>
    <w:p>
      <w:pPr>
        <w:spacing w:before="120" w:after="60"/>
        <w:jc w:val="center"/>
      </w:pPr>
      <w:r>
        <w:drawing>
          <wp:inline xmlns:a="http://schemas.openxmlformats.org/drawingml/2006/main" xmlns:pic="http://schemas.openxmlformats.org/drawingml/2006/picture">
            <wp:extent cx="5897880" cy="3538728"/>
            <wp:docPr id="3" name="Picture 3" descr="Image: image3.png"/>
            <wp:cNvGraphicFramePr>
              <a:graphicFrameLocks noChangeAspect="1"/>
            </wp:cNvGraphicFramePr>
            <a:graphic>
              <a:graphicData uri="http://schemas.openxmlformats.org/drawingml/2006/picture">
                <pic:pic>
                  <pic:nvPicPr>
                    <pic:cNvPr id="0" name="03-logical-components.png"/>
                    <pic:cNvPicPr/>
                  </pic:nvPicPr>
                  <pic:blipFill>
                    <a:blip r:embed="rId11"/>
                    <a:stretch>
                      <a:fillRect/>
                    </a:stretch>
                  </pic:blipFill>
                  <pic:spPr>
                    <a:xfrm>
                      <a:off x="0" y="0"/>
                      <a:ext cx="5897880" cy="3538728"/>
                    </a:xfrm>
                    <a:prstGeom prst="rect"/>
                  </pic:spPr>
                </pic:pic>
              </a:graphicData>
            </a:graphic>
          </wp:inline>
        </w:drawing>
      </w:r>
    </w:p>
    <w:p>
      <w:pPr>
        <w:spacing w:after="200"/>
        <w:jc w:val="center"/>
      </w:pPr>
      <w:r>
        <w:rPr>
          <w:i/>
          <w:color w:val="595959"/>
          <w:sz w:val="18"/>
        </w:rPr>
        <w:t>Figure 3. Logical component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65D"/>
            <w:tcMar>
              <w:top w:w="100" w:type="dxa"/>
              <w:start w:w="120" w:type="dxa"/>
              <w:bottom w:w="100" w:type="dxa"/>
              <w:end w:w="120" w:type="dxa"/>
            </w:tcMar>
            <w:vAlign w:val="center"/>
          </w:tcPr>
          <w:p>
            <w:pPr>
              <w:jc w:val="center"/>
            </w:pPr>
            <w:r>
              <w:rPr>
                <w:b/>
                <w:color w:val="FFFFFF"/>
                <w:sz w:val="18"/>
              </w:rPr>
              <w:t>Component</w:t>
            </w:r>
          </w:p>
        </w:tc>
        <w:tc>
          <w:tcPr>
            <w:tcW w:type="dxa" w:w="4608"/>
            <w:shd w:fill="17365D"/>
            <w:tcMar>
              <w:top w:w="100" w:type="dxa"/>
              <w:start w:w="120" w:type="dxa"/>
              <w:bottom w:w="100" w:type="dxa"/>
              <w:end w:w="120" w:type="dxa"/>
            </w:tcMar>
            <w:vAlign w:val="center"/>
          </w:tcPr>
          <w:p>
            <w:pPr>
              <w:jc w:val="center"/>
            </w:pPr>
            <w:r>
              <w:rPr>
                <w:b/>
                <w:color w:val="FFFFFF"/>
                <w:sz w:val="18"/>
              </w:rPr>
              <w:t>Responsibility</w:t>
            </w:r>
          </w:p>
        </w:tc>
        <w:tc>
          <w:tcPr>
            <w:tcW w:type="dxa" w:w="2880"/>
            <w:shd w:fill="17365D"/>
            <w:tcMar>
              <w:top w:w="100" w:type="dxa"/>
              <w:start w:w="120" w:type="dxa"/>
              <w:bottom w:w="100" w:type="dxa"/>
              <w:end w:w="120" w:type="dxa"/>
            </w:tcMar>
            <w:vAlign w:val="center"/>
          </w:tcPr>
          <w:p>
            <w:pPr>
              <w:jc w:val="center"/>
            </w:pPr>
            <w:r>
              <w:rPr>
                <w:b/>
                <w:color w:val="FFFFFF"/>
                <w:sz w:val="18"/>
              </w:rPr>
              <w:t>Key source locations</w:t>
            </w:r>
          </w:p>
        </w:tc>
      </w:tr>
      <w:tr>
        <w:tc>
          <w:tcPr>
            <w:tcW w:type="dxa" w:w="1944"/>
            <w:tcMar>
              <w:top w:w="100" w:type="dxa"/>
              <w:start w:w="120" w:type="dxa"/>
              <w:bottom w:w="100" w:type="dxa"/>
              <w:end w:w="120" w:type="dxa"/>
            </w:tcMar>
            <w:vAlign w:val="center"/>
          </w:tcPr>
          <w:p>
            <w:r>
              <w:rPr>
                <w:color w:val="1F2937"/>
                <w:sz w:val="18"/>
              </w:rPr>
              <w:t>SPA</w:t>
            </w:r>
          </w:p>
        </w:tc>
        <w:tc>
          <w:tcPr>
            <w:tcW w:type="dxa" w:w="4608"/>
            <w:tcMar>
              <w:top w:w="100" w:type="dxa"/>
              <w:start w:w="120" w:type="dxa"/>
              <w:bottom w:w="100" w:type="dxa"/>
              <w:end w:w="120" w:type="dxa"/>
            </w:tcMar>
            <w:vAlign w:val="center"/>
          </w:tcPr>
          <w:p>
            <w:r>
              <w:rPr>
                <w:color w:val="1F2937"/>
                <w:sz w:val="18"/>
              </w:rPr>
              <w:t>Navigation, forms, chat, files, deployment and settings views</w:t>
            </w:r>
          </w:p>
        </w:tc>
        <w:tc>
          <w:tcPr>
            <w:tcW w:type="dxa" w:w="2880"/>
            <w:tcMar>
              <w:top w:w="100" w:type="dxa"/>
              <w:start w:w="120" w:type="dxa"/>
              <w:bottom w:w="100" w:type="dxa"/>
              <w:end w:w="120" w:type="dxa"/>
            </w:tcMar>
            <w:vAlign w:val="center"/>
          </w:tcPr>
          <w:p>
            <w:r>
              <w:rPr>
                <w:color w:val="1F2937"/>
                <w:sz w:val="18"/>
              </w:rPr>
              <w:t>apps/control-plane/public</w:t>
            </w:r>
          </w:p>
        </w:tc>
      </w:tr>
      <w:tr>
        <w:tc>
          <w:tcPr>
            <w:tcW w:type="dxa" w:w="1944"/>
            <w:tcMar>
              <w:top w:w="100" w:type="dxa"/>
              <w:start w:w="120" w:type="dxa"/>
              <w:bottom w:w="100" w:type="dxa"/>
              <w:end w:w="120" w:type="dxa"/>
            </w:tcMar>
            <w:vAlign w:val="center"/>
            <w:shd w:fill="F7F9FC"/>
          </w:tcPr>
          <w:p>
            <w:r>
              <w:rPr>
                <w:color w:val="1F2937"/>
                <w:sz w:val="18"/>
              </w:rPr>
              <w:t>HTTP control plane</w:t>
            </w:r>
          </w:p>
        </w:tc>
        <w:tc>
          <w:tcPr>
            <w:tcW w:type="dxa" w:w="4608"/>
            <w:tcMar>
              <w:top w:w="100" w:type="dxa"/>
              <w:start w:w="120" w:type="dxa"/>
              <w:bottom w:w="100" w:type="dxa"/>
              <w:end w:w="120" w:type="dxa"/>
            </w:tcMar>
            <w:vAlign w:val="center"/>
            <w:shd w:fill="F7F9FC"/>
          </w:tcPr>
          <w:p>
            <w:r>
              <w:rPr>
                <w:color w:val="1F2937"/>
                <w:sz w:val="18"/>
              </w:rPr>
              <w:t>Routes, sessions, RBAC, scopes, workflows, artifacts and WhatsApp callbacks</w:t>
            </w:r>
          </w:p>
        </w:tc>
        <w:tc>
          <w:tcPr>
            <w:tcW w:type="dxa" w:w="2880"/>
            <w:tcMar>
              <w:top w:w="100" w:type="dxa"/>
              <w:start w:w="120" w:type="dxa"/>
              <w:bottom w:w="100" w:type="dxa"/>
              <w:end w:w="120" w:type="dxa"/>
            </w:tcMar>
            <w:vAlign w:val="center"/>
            <w:shd w:fill="F7F9FC"/>
          </w:tcPr>
          <w:p>
            <w:r>
              <w:rPr>
                <w:color w:val="1F2937"/>
                <w:sz w:val="18"/>
              </w:rPr>
              <w:t>apps/control-plane/src/server.js</w:t>
            </w:r>
          </w:p>
        </w:tc>
      </w:tr>
      <w:tr>
        <w:tc>
          <w:tcPr>
            <w:tcW w:type="dxa" w:w="1944"/>
            <w:tcMar>
              <w:top w:w="100" w:type="dxa"/>
              <w:start w:w="120" w:type="dxa"/>
              <w:bottom w:w="100" w:type="dxa"/>
              <w:end w:w="120" w:type="dxa"/>
            </w:tcMar>
            <w:vAlign w:val="center"/>
          </w:tcPr>
          <w:p>
            <w:r>
              <w:rPr>
                <w:color w:val="1F2937"/>
                <w:sz w:val="18"/>
              </w:rPr>
              <w:t>Store adapter</w:t>
            </w:r>
          </w:p>
        </w:tc>
        <w:tc>
          <w:tcPr>
            <w:tcW w:type="dxa" w:w="4608"/>
            <w:tcMar>
              <w:top w:w="100" w:type="dxa"/>
              <w:start w:w="120" w:type="dxa"/>
              <w:bottom w:w="100" w:type="dxa"/>
              <w:end w:w="120" w:type="dxa"/>
            </w:tcMar>
            <w:vAlign w:val="center"/>
          </w:tcPr>
          <w:p>
            <w:r>
              <w:rPr>
                <w:color w:val="1F2937"/>
                <w:sz w:val="18"/>
              </w:rPr>
              <w:t>JSON/PostgreSQL state, revisions, locks, retrieval chunks and manifests</w:t>
            </w:r>
          </w:p>
        </w:tc>
        <w:tc>
          <w:tcPr>
            <w:tcW w:type="dxa" w:w="2880"/>
            <w:tcMar>
              <w:top w:w="100" w:type="dxa"/>
              <w:start w:w="120" w:type="dxa"/>
              <w:bottom w:w="100" w:type="dxa"/>
              <w:end w:w="120" w:type="dxa"/>
            </w:tcMar>
            <w:vAlign w:val="center"/>
          </w:tcPr>
          <w:p>
            <w:r>
              <w:rPr>
                <w:color w:val="1F2937"/>
                <w:sz w:val="18"/>
              </w:rPr>
              <w:t>apps/control-plane/src/store.js</w:t>
            </w:r>
          </w:p>
        </w:tc>
      </w:tr>
      <w:tr>
        <w:tc>
          <w:tcPr>
            <w:tcW w:type="dxa" w:w="1944"/>
            <w:tcMar>
              <w:top w:w="100" w:type="dxa"/>
              <w:start w:w="120" w:type="dxa"/>
              <w:bottom w:w="100" w:type="dxa"/>
              <w:end w:w="120" w:type="dxa"/>
            </w:tcMar>
            <w:vAlign w:val="center"/>
            <w:shd w:fill="F7F9FC"/>
          </w:tcPr>
          <w:p>
            <w:r>
              <w:rPr>
                <w:color w:val="1F2937"/>
                <w:sz w:val="18"/>
              </w:rPr>
              <w:t>Security module</w:t>
            </w:r>
          </w:p>
        </w:tc>
        <w:tc>
          <w:tcPr>
            <w:tcW w:type="dxa" w:w="4608"/>
            <w:tcMar>
              <w:top w:w="100" w:type="dxa"/>
              <w:start w:w="120" w:type="dxa"/>
              <w:bottom w:w="100" w:type="dxa"/>
              <w:end w:w="120" w:type="dxa"/>
            </w:tcMar>
            <w:vAlign w:val="center"/>
            <w:shd w:fill="F7F9FC"/>
          </w:tcPr>
          <w:p>
            <w:r>
              <w:rPr>
                <w:color w:val="1F2937"/>
                <w:sz w:val="18"/>
              </w:rPr>
              <w:t>Password hashing, secret encryption/decryption and session primitives</w:t>
            </w:r>
          </w:p>
        </w:tc>
        <w:tc>
          <w:tcPr>
            <w:tcW w:type="dxa" w:w="2880"/>
            <w:tcMar>
              <w:top w:w="100" w:type="dxa"/>
              <w:start w:w="120" w:type="dxa"/>
              <w:bottom w:w="100" w:type="dxa"/>
              <w:end w:w="120" w:type="dxa"/>
            </w:tcMar>
            <w:vAlign w:val="center"/>
            <w:shd w:fill="F7F9FC"/>
          </w:tcPr>
          <w:p>
            <w:r>
              <w:rPr>
                <w:color w:val="1F2937"/>
                <w:sz w:val="18"/>
              </w:rPr>
              <w:t>apps/control-plane/src/security.js</w:t>
            </w:r>
          </w:p>
        </w:tc>
      </w:tr>
      <w:tr>
        <w:tc>
          <w:tcPr>
            <w:tcW w:type="dxa" w:w="1944"/>
            <w:tcMar>
              <w:top w:w="100" w:type="dxa"/>
              <w:start w:w="120" w:type="dxa"/>
              <w:bottom w:w="100" w:type="dxa"/>
              <w:end w:w="120" w:type="dxa"/>
            </w:tcMar>
            <w:vAlign w:val="center"/>
          </w:tcPr>
          <w:p>
            <w:r>
              <w:rPr>
                <w:color w:val="1F2937"/>
                <w:sz w:val="18"/>
              </w:rPr>
              <w:t>Retrieval index</w:t>
            </w:r>
          </w:p>
        </w:tc>
        <w:tc>
          <w:tcPr>
            <w:tcW w:type="dxa" w:w="4608"/>
            <w:tcMar>
              <w:top w:w="100" w:type="dxa"/>
              <w:start w:w="120" w:type="dxa"/>
              <w:bottom w:w="100" w:type="dxa"/>
              <w:end w:w="120" w:type="dxa"/>
            </w:tcMar>
            <w:vAlign w:val="center"/>
          </w:tcPr>
          <w:p>
            <w:r>
              <w:rPr>
                <w:color w:val="1F2937"/>
                <w:sz w:val="18"/>
              </w:rPr>
              <w:t>Document ingestion, chunking, lexical/vector retrieval and scope filters</w:t>
            </w:r>
          </w:p>
        </w:tc>
        <w:tc>
          <w:tcPr>
            <w:tcW w:type="dxa" w:w="2880"/>
            <w:tcMar>
              <w:top w:w="100" w:type="dxa"/>
              <w:start w:w="120" w:type="dxa"/>
              <w:bottom w:w="100" w:type="dxa"/>
              <w:end w:w="120" w:type="dxa"/>
            </w:tcMar>
            <w:vAlign w:val="center"/>
          </w:tcPr>
          <w:p>
            <w:r>
              <w:rPr>
                <w:color w:val="1F2937"/>
                <w:sz w:val="18"/>
              </w:rPr>
              <w:t>apps/control-plane/src/retrieval-index.js</w:t>
            </w:r>
          </w:p>
        </w:tc>
      </w:tr>
      <w:tr>
        <w:tc>
          <w:tcPr>
            <w:tcW w:type="dxa" w:w="1944"/>
            <w:tcMar>
              <w:top w:w="100" w:type="dxa"/>
              <w:start w:w="120" w:type="dxa"/>
              <w:bottom w:w="100" w:type="dxa"/>
              <w:end w:w="120" w:type="dxa"/>
            </w:tcMar>
            <w:vAlign w:val="center"/>
            <w:shd w:fill="F7F9FC"/>
          </w:tcPr>
          <w:p>
            <w:r>
              <w:rPr>
                <w:color w:val="1F2937"/>
                <w:sz w:val="18"/>
              </w:rPr>
              <w:t>Execution adapters</w:t>
            </w:r>
          </w:p>
        </w:tc>
        <w:tc>
          <w:tcPr>
            <w:tcW w:type="dxa" w:w="4608"/>
            <w:tcMar>
              <w:top w:w="100" w:type="dxa"/>
              <w:start w:w="120" w:type="dxa"/>
              <w:bottom w:w="100" w:type="dxa"/>
              <w:end w:w="120" w:type="dxa"/>
            </w:tcMar>
            <w:vAlign w:val="center"/>
            <w:shd w:fill="F7F9FC"/>
          </w:tcPr>
          <w:p>
            <w:r>
              <w:rPr>
                <w:color w:val="1F2937"/>
                <w:sz w:val="18"/>
              </w:rPr>
              <w:t>Direct provider and Hermes envelope/response validation</w:t>
            </w:r>
          </w:p>
        </w:tc>
        <w:tc>
          <w:tcPr>
            <w:tcW w:type="dxa" w:w="2880"/>
            <w:tcMar>
              <w:top w:w="100" w:type="dxa"/>
              <w:start w:w="120" w:type="dxa"/>
              <w:bottom w:w="100" w:type="dxa"/>
              <w:end w:w="120" w:type="dxa"/>
            </w:tcMar>
            <w:vAlign w:val="center"/>
            <w:shd w:fill="F7F9FC"/>
          </w:tcPr>
          <w:p>
            <w:r>
              <w:rPr>
                <w:color w:val="1F2937"/>
                <w:sz w:val="18"/>
              </w:rPr>
              <w:t>apps/control-plane/src/agent-execution.mjs</w:t>
            </w:r>
          </w:p>
        </w:tc>
      </w:tr>
      <w:tr>
        <w:tc>
          <w:tcPr>
            <w:tcW w:type="dxa" w:w="1944"/>
            <w:tcMar>
              <w:top w:w="100" w:type="dxa"/>
              <w:start w:w="120" w:type="dxa"/>
              <w:bottom w:w="100" w:type="dxa"/>
              <w:end w:w="120" w:type="dxa"/>
            </w:tcMar>
            <w:vAlign w:val="center"/>
          </w:tcPr>
          <w:p>
            <w:r>
              <w:rPr>
                <w:color w:val="1F2937"/>
                <w:sz w:val="18"/>
              </w:rPr>
              <w:t>Domain contracts</w:t>
            </w:r>
          </w:p>
        </w:tc>
        <w:tc>
          <w:tcPr>
            <w:tcW w:type="dxa" w:w="4608"/>
            <w:tcMar>
              <w:top w:w="100" w:type="dxa"/>
              <w:start w:w="120" w:type="dxa"/>
              <w:bottom w:w="100" w:type="dxa"/>
              <w:end w:w="120" w:type="dxa"/>
            </w:tcMar>
            <w:vAlign w:val="center"/>
          </w:tcPr>
          <w:p>
            <w:r>
              <w:rPr>
                <w:color w:val="1F2937"/>
                <w:sz w:val="18"/>
              </w:rPr>
              <w:t>Message lifecycle, manifest hashing and report QA rules</w:t>
            </w:r>
          </w:p>
        </w:tc>
        <w:tc>
          <w:tcPr>
            <w:tcW w:type="dxa" w:w="2880"/>
            <w:tcMar>
              <w:top w:w="100" w:type="dxa"/>
              <w:start w:w="120" w:type="dxa"/>
              <w:bottom w:w="100" w:type="dxa"/>
              <w:end w:w="120" w:type="dxa"/>
            </w:tcMar>
            <w:vAlign w:val="center"/>
          </w:tcPr>
          <w:p>
            <w:r>
              <w:rPr>
                <w:color w:val="1F2937"/>
                <w:sz w:val="18"/>
              </w:rPr>
              <w:t>packages/domain</w:t>
            </w:r>
          </w:p>
        </w:tc>
      </w:tr>
      <w:tr>
        <w:tc>
          <w:tcPr>
            <w:tcW w:type="dxa" w:w="1944"/>
            <w:tcMar>
              <w:top w:w="100" w:type="dxa"/>
              <w:start w:w="120" w:type="dxa"/>
              <w:bottom w:w="100" w:type="dxa"/>
              <w:end w:w="120" w:type="dxa"/>
            </w:tcMar>
            <w:vAlign w:val="center"/>
            <w:shd w:fill="F7F9FC"/>
          </w:tcPr>
          <w:p>
            <w:r>
              <w:rPr>
                <w:color w:val="1F2937"/>
                <w:sz w:val="18"/>
              </w:rPr>
              <w:t>Bridge processes</w:t>
            </w:r>
          </w:p>
        </w:tc>
        <w:tc>
          <w:tcPr>
            <w:tcW w:type="dxa" w:w="4608"/>
            <w:tcMar>
              <w:top w:w="100" w:type="dxa"/>
              <w:start w:w="120" w:type="dxa"/>
              <w:bottom w:w="100" w:type="dxa"/>
              <w:end w:w="120" w:type="dxa"/>
            </w:tcMar>
            <w:vAlign w:val="center"/>
            <w:shd w:fill="F7F9FC"/>
          </w:tcPr>
          <w:p>
            <w:r>
              <w:rPr>
                <w:color w:val="1F2937"/>
                <w:sz w:val="18"/>
              </w:rPr>
              <w:t>Pairing, group filtering, callback delivery and media handling</w:t>
            </w:r>
          </w:p>
        </w:tc>
        <w:tc>
          <w:tcPr>
            <w:tcW w:type="dxa" w:w="2880"/>
            <w:tcMar>
              <w:top w:w="100" w:type="dxa"/>
              <w:start w:w="120" w:type="dxa"/>
              <w:bottom w:w="100" w:type="dxa"/>
              <w:end w:w="120" w:type="dxa"/>
            </w:tcMar>
            <w:vAlign w:val="center"/>
            <w:shd w:fill="F7F9FC"/>
          </w:tcPr>
          <w:p>
            <w:r>
              <w:rPr>
                <w:color w:val="1F2937"/>
                <w:sz w:val="18"/>
              </w:rPr>
              <w:t>whatsapp-pair.mjs, project-whatsapp-bridge.mjs, hermes-bot-runtime.mjs</w:t>
            </w:r>
          </w:p>
        </w:tc>
      </w:tr>
    </w:tbl>
    <w:p>
      <w:pPr>
        <w:spacing w:after="40"/>
      </w:pPr>
    </w:p>
    <w:p>
      <w:pPr>
        <w:pStyle w:val="Heading1"/>
      </w:pPr>
      <w:r>
        <w:t>9 Docker deployment architecture</w:t>
      </w:r>
    </w:p>
    <w:p>
      <w:pPr>
        <w:spacing w:after="140" w:line="259" w:lineRule="auto"/>
      </w:pPr>
      <w:r>
        <w:t>The preserved package runs two Compose services. PostgreSQL exposes host loopback port 5432. The agent-platform container serves the browser/API on port 3000 and Hermes middleware on port 3010. The Dockerfile installs Node 22, LibreOffice Writer, Noto CJK fonts and the Hermes CLI needed for document conversion and local execution.</w:t>
      </w:r>
    </w:p>
    <w:p>
      <w:pPr>
        <w:spacing w:before="120" w:after="60"/>
        <w:jc w:val="center"/>
      </w:pPr>
      <w:r>
        <w:drawing>
          <wp:inline xmlns:a="http://schemas.openxmlformats.org/drawingml/2006/main" xmlns:pic="http://schemas.openxmlformats.org/drawingml/2006/picture">
            <wp:extent cx="5897880" cy="3538728"/>
            <wp:docPr id="4" name="Picture 4" descr="Image: image4.png"/>
            <wp:cNvGraphicFramePr>
              <a:graphicFrameLocks noChangeAspect="1"/>
            </wp:cNvGraphicFramePr>
            <a:graphic>
              <a:graphicData uri="http://schemas.openxmlformats.org/drawingml/2006/picture">
                <pic:pic>
                  <pic:nvPicPr>
                    <pic:cNvPr id="0" name="04-docker-deployment.png"/>
                    <pic:cNvPicPr/>
                  </pic:nvPicPr>
                  <pic:blipFill>
                    <a:blip r:embed="rId12"/>
                    <a:stretch>
                      <a:fillRect/>
                    </a:stretch>
                  </pic:blipFill>
                  <pic:spPr>
                    <a:xfrm>
                      <a:off x="0" y="0"/>
                      <a:ext cx="5897880" cy="3538728"/>
                    </a:xfrm>
                    <a:prstGeom prst="rect"/>
                  </pic:spPr>
                </pic:pic>
              </a:graphicData>
            </a:graphic>
          </wp:inline>
        </w:drawing>
      </w:r>
    </w:p>
    <w:p>
      <w:pPr>
        <w:spacing w:after="200"/>
        <w:jc w:val="center"/>
      </w:pPr>
      <w:r>
        <w:rPr>
          <w:i/>
          <w:color w:val="595959"/>
          <w:sz w:val="18"/>
        </w:rPr>
        <w:t>Figure 4. Docker deployment and named volumes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17365D"/>
            <w:tcMar>
              <w:top w:w="100" w:type="dxa"/>
              <w:start w:w="120" w:type="dxa"/>
              <w:bottom w:w="100" w:type="dxa"/>
              <w:end w:w="120" w:type="dxa"/>
            </w:tcMar>
            <w:vAlign w:val="center"/>
          </w:tcPr>
          <w:p>
            <w:pPr>
              <w:jc w:val="center"/>
            </w:pPr>
            <w:r>
              <w:rPr>
                <w:b/>
                <w:color w:val="FFFFFF"/>
                <w:sz w:val="18"/>
              </w:rPr>
              <w:t>Service or volume</w:t>
            </w:r>
          </w:p>
        </w:tc>
        <w:tc>
          <w:tcPr>
            <w:tcW w:type="dxa" w:w="4608"/>
            <w:shd w:fill="17365D"/>
            <w:tcMar>
              <w:top w:w="100" w:type="dxa"/>
              <w:start w:w="120" w:type="dxa"/>
              <w:bottom w:w="100" w:type="dxa"/>
              <w:end w:w="120" w:type="dxa"/>
            </w:tcMar>
            <w:vAlign w:val="center"/>
          </w:tcPr>
          <w:p>
            <w:pPr>
              <w:jc w:val="center"/>
            </w:pPr>
            <w:r>
              <w:rPr>
                <w:b/>
                <w:color w:val="FFFFFF"/>
                <w:sz w:val="18"/>
              </w:rPr>
              <w:t>Purpose</w:t>
            </w:r>
          </w:p>
        </w:tc>
        <w:tc>
          <w:tcPr>
            <w:tcW w:type="dxa" w:w="2376"/>
            <w:shd w:fill="17365D"/>
            <w:tcMar>
              <w:top w:w="100" w:type="dxa"/>
              <w:start w:w="120" w:type="dxa"/>
              <w:bottom w:w="100" w:type="dxa"/>
              <w:end w:w="120" w:type="dxa"/>
            </w:tcMar>
            <w:vAlign w:val="center"/>
          </w:tcPr>
          <w:p>
            <w:pPr>
              <w:jc w:val="center"/>
            </w:pPr>
            <w:r>
              <w:rPr>
                <w:b/>
                <w:color w:val="FFFFFF"/>
                <w:sz w:val="18"/>
              </w:rPr>
              <w:t>Receiver action</w:t>
            </w:r>
          </w:p>
        </w:tc>
      </w:tr>
      <w:tr>
        <w:tc>
          <w:tcPr>
            <w:tcW w:type="dxa" w:w="2232"/>
            <w:tcMar>
              <w:top w:w="100" w:type="dxa"/>
              <w:start w:w="120" w:type="dxa"/>
              <w:bottom w:w="100" w:type="dxa"/>
              <w:end w:w="120" w:type="dxa"/>
            </w:tcMar>
            <w:vAlign w:val="center"/>
          </w:tcPr>
          <w:p>
            <w:r>
              <w:rPr>
                <w:color w:val="1F2937"/>
                <w:sz w:val="18"/>
              </w:rPr>
              <w:t>postgres</w:t>
            </w:r>
          </w:p>
        </w:tc>
        <w:tc>
          <w:tcPr>
            <w:tcW w:type="dxa" w:w="4608"/>
            <w:tcMar>
              <w:top w:w="100" w:type="dxa"/>
              <w:start w:w="120" w:type="dxa"/>
              <w:bottom w:w="100" w:type="dxa"/>
              <w:end w:w="120" w:type="dxa"/>
            </w:tcMar>
            <w:vAlign w:val="center"/>
          </w:tcPr>
          <w:p>
            <w:r>
              <w:rPr>
                <w:color w:val="1F2937"/>
                <w:sz w:val="18"/>
              </w:rPr>
              <w:t>pgvector/PostgreSQL 17 database, schema varadise</w:t>
            </w:r>
          </w:p>
        </w:tc>
        <w:tc>
          <w:tcPr>
            <w:tcW w:type="dxa" w:w="2376"/>
            <w:tcMar>
              <w:top w:w="100" w:type="dxa"/>
              <w:start w:w="120" w:type="dxa"/>
              <w:bottom w:w="100" w:type="dxa"/>
              <w:end w:w="120" w:type="dxa"/>
            </w:tcMar>
            <w:vAlign w:val="center"/>
          </w:tcPr>
          <w:p>
            <w:r>
              <w:rPr>
                <w:color w:val="1F2937"/>
                <w:sz w:val="18"/>
              </w:rPr>
              <w:t>Keep port loopback-only; back up logical SQL</w:t>
            </w:r>
          </w:p>
        </w:tc>
      </w:tr>
      <w:tr>
        <w:tc>
          <w:tcPr>
            <w:tcW w:type="dxa" w:w="2232"/>
            <w:tcMar>
              <w:top w:w="100" w:type="dxa"/>
              <w:start w:w="120" w:type="dxa"/>
              <w:bottom w:w="100" w:type="dxa"/>
              <w:end w:w="120" w:type="dxa"/>
            </w:tcMar>
            <w:vAlign w:val="center"/>
            <w:shd w:fill="F7F9FC"/>
          </w:tcPr>
          <w:p>
            <w:r>
              <w:rPr>
                <w:color w:val="1F2937"/>
                <w:sz w:val="18"/>
              </w:rPr>
              <w:t>agent-platform</w:t>
            </w:r>
          </w:p>
        </w:tc>
        <w:tc>
          <w:tcPr>
            <w:tcW w:type="dxa" w:w="4608"/>
            <w:tcMar>
              <w:top w:w="100" w:type="dxa"/>
              <w:start w:w="120" w:type="dxa"/>
              <w:bottom w:w="100" w:type="dxa"/>
              <w:end w:w="120" w:type="dxa"/>
            </w:tcMar>
            <w:vAlign w:val="center"/>
            <w:shd w:fill="F7F9FC"/>
          </w:tcPr>
          <w:p>
            <w:r>
              <w:rPr>
                <w:color w:val="1F2937"/>
                <w:sz w:val="18"/>
              </w:rPr>
              <w:t>Control plane, SPA, artifact pipeline, Hermes middleware</w:t>
            </w:r>
          </w:p>
        </w:tc>
        <w:tc>
          <w:tcPr>
            <w:tcW w:type="dxa" w:w="2376"/>
            <w:tcMar>
              <w:top w:w="100" w:type="dxa"/>
              <w:start w:w="120" w:type="dxa"/>
              <w:bottom w:w="100" w:type="dxa"/>
              <w:end w:w="120" w:type="dxa"/>
            </w:tcMar>
            <w:vAlign w:val="center"/>
            <w:shd w:fill="F7F9FC"/>
          </w:tcPr>
          <w:p>
            <w:r>
              <w:rPr>
                <w:color w:val="1F2937"/>
                <w:sz w:val="18"/>
              </w:rPr>
              <w:t>Set secrets and provider configuration; monitor health</w:t>
            </w:r>
          </w:p>
        </w:tc>
      </w:tr>
      <w:tr>
        <w:tc>
          <w:tcPr>
            <w:tcW w:type="dxa" w:w="2232"/>
            <w:tcMar>
              <w:top w:w="100" w:type="dxa"/>
              <w:start w:w="120" w:type="dxa"/>
              <w:bottom w:w="100" w:type="dxa"/>
              <w:end w:w="120" w:type="dxa"/>
            </w:tcMar>
            <w:vAlign w:val="center"/>
          </w:tcPr>
          <w:p>
            <w:r>
              <w:rPr>
                <w:color w:val="1F2937"/>
                <w:sz w:val="18"/>
              </w:rPr>
              <w:t>varadise-postgres-data</w:t>
            </w:r>
          </w:p>
        </w:tc>
        <w:tc>
          <w:tcPr>
            <w:tcW w:type="dxa" w:w="4608"/>
            <w:tcMar>
              <w:top w:w="100" w:type="dxa"/>
              <w:start w:w="120" w:type="dxa"/>
              <w:bottom w:w="100" w:type="dxa"/>
              <w:end w:w="120" w:type="dxa"/>
            </w:tcMar>
            <w:vAlign w:val="center"/>
          </w:tcPr>
          <w:p>
            <w:r>
              <w:rPr>
                <w:color w:val="1F2937"/>
                <w:sz w:val="18"/>
              </w:rPr>
              <w:t>Database physical data</w:t>
            </w:r>
          </w:p>
        </w:tc>
        <w:tc>
          <w:tcPr>
            <w:tcW w:type="dxa" w:w="2376"/>
            <w:tcMar>
              <w:top w:w="100" w:type="dxa"/>
              <w:start w:w="120" w:type="dxa"/>
              <w:bottom w:w="100" w:type="dxa"/>
              <w:end w:w="120" w:type="dxa"/>
            </w:tcMar>
            <w:vAlign w:val="center"/>
          </w:tcPr>
          <w:p>
            <w:r>
              <w:rPr>
                <w:color w:val="1F2937"/>
                <w:sz w:val="18"/>
              </w:rPr>
              <w:t>Back up through database tooling; do not copy while live without a safe procedure</w:t>
            </w:r>
          </w:p>
        </w:tc>
      </w:tr>
      <w:tr>
        <w:tc>
          <w:tcPr>
            <w:tcW w:type="dxa" w:w="2232"/>
            <w:tcMar>
              <w:top w:w="100" w:type="dxa"/>
              <w:start w:w="120" w:type="dxa"/>
              <w:bottom w:w="100" w:type="dxa"/>
              <w:end w:w="120" w:type="dxa"/>
            </w:tcMar>
            <w:vAlign w:val="center"/>
            <w:shd w:fill="F7F9FC"/>
          </w:tcPr>
          <w:p>
            <w:r>
              <w:rPr>
                <w:color w:val="1F2937"/>
                <w:sz w:val="18"/>
              </w:rPr>
              <w:t>varadise-app-data</w:t>
            </w:r>
          </w:p>
        </w:tc>
        <w:tc>
          <w:tcPr>
            <w:tcW w:type="dxa" w:w="4608"/>
            <w:tcMar>
              <w:top w:w="100" w:type="dxa"/>
              <w:start w:w="120" w:type="dxa"/>
              <w:bottom w:w="100" w:type="dxa"/>
              <w:end w:w="120" w:type="dxa"/>
            </w:tcMar>
            <w:vAlign w:val="center"/>
            <w:shd w:fill="F7F9FC"/>
          </w:tcPr>
          <w:p>
            <w:r>
              <w:rPr>
                <w:color w:val="1F2937"/>
                <w:sz w:val="18"/>
              </w:rPr>
              <w:t>Managed uploads, generated files and application state</w:t>
            </w:r>
          </w:p>
        </w:tc>
        <w:tc>
          <w:tcPr>
            <w:tcW w:type="dxa" w:w="2376"/>
            <w:tcMar>
              <w:top w:w="100" w:type="dxa"/>
              <w:start w:w="120" w:type="dxa"/>
              <w:bottom w:w="100" w:type="dxa"/>
              <w:end w:w="120" w:type="dxa"/>
            </w:tcMar>
            <w:vAlign w:val="center"/>
            <w:shd w:fill="F7F9FC"/>
          </w:tcPr>
          <w:p>
            <w:r>
              <w:rPr>
                <w:color w:val="1F2937"/>
                <w:sz w:val="18"/>
              </w:rPr>
              <w:t>Include in file archive and protect permissions</w:t>
            </w:r>
          </w:p>
        </w:tc>
      </w:tr>
      <w:tr>
        <w:tc>
          <w:tcPr>
            <w:tcW w:type="dxa" w:w="2232"/>
            <w:tcMar>
              <w:top w:w="100" w:type="dxa"/>
              <w:start w:w="120" w:type="dxa"/>
              <w:bottom w:w="100" w:type="dxa"/>
              <w:end w:w="120" w:type="dxa"/>
            </w:tcMar>
            <w:vAlign w:val="center"/>
          </w:tcPr>
          <w:p>
            <w:r>
              <w:rPr>
                <w:color w:val="1F2937"/>
                <w:sz w:val="18"/>
              </w:rPr>
              <w:t>varadise-runtime-data</w:t>
            </w:r>
          </w:p>
        </w:tc>
        <w:tc>
          <w:tcPr>
            <w:tcW w:type="dxa" w:w="4608"/>
            <w:tcMar>
              <w:top w:w="100" w:type="dxa"/>
              <w:start w:w="120" w:type="dxa"/>
              <w:bottom w:w="100" w:type="dxa"/>
              <w:end w:w="120" w:type="dxa"/>
            </w:tcMar>
            <w:vAlign w:val="center"/>
          </w:tcPr>
          <w:p>
            <w:r>
              <w:rPr>
                <w:color w:val="1F2937"/>
                <w:sz w:val="18"/>
              </w:rPr>
              <w:t>WhatsApp sessions and runtime working data</w:t>
            </w:r>
          </w:p>
        </w:tc>
        <w:tc>
          <w:tcPr>
            <w:tcW w:type="dxa" w:w="2376"/>
            <w:tcMar>
              <w:top w:w="100" w:type="dxa"/>
              <w:start w:w="120" w:type="dxa"/>
              <w:bottom w:w="100" w:type="dxa"/>
              <w:end w:w="120" w:type="dxa"/>
            </w:tcMar>
            <w:vAlign w:val="center"/>
          </w:tcPr>
          <w:p>
            <w:r>
              <w:rPr>
                <w:color w:val="1F2937"/>
                <w:sz w:val="18"/>
              </w:rPr>
              <w:t>Protect creds.json and archive only through approved process</w:t>
            </w:r>
          </w:p>
        </w:tc>
      </w:tr>
      <w:tr>
        <w:tc>
          <w:tcPr>
            <w:tcW w:type="dxa" w:w="2232"/>
            <w:tcMar>
              <w:top w:w="100" w:type="dxa"/>
              <w:start w:w="120" w:type="dxa"/>
              <w:bottom w:w="100" w:type="dxa"/>
              <w:end w:w="120" w:type="dxa"/>
            </w:tcMar>
            <w:vAlign w:val="center"/>
            <w:shd w:fill="F7F9FC"/>
          </w:tcPr>
          <w:p>
            <w:r>
              <w:rPr>
                <w:color w:val="1F2937"/>
                <w:sz w:val="18"/>
              </w:rPr>
              <w:t>varadise-hermes-data</w:t>
            </w:r>
          </w:p>
        </w:tc>
        <w:tc>
          <w:tcPr>
            <w:tcW w:type="dxa" w:w="4608"/>
            <w:tcMar>
              <w:top w:w="100" w:type="dxa"/>
              <w:start w:w="120" w:type="dxa"/>
              <w:bottom w:w="100" w:type="dxa"/>
              <w:end w:w="120" w:type="dxa"/>
            </w:tcMar>
            <w:vAlign w:val="center"/>
            <w:shd w:fill="F7F9FC"/>
          </w:tcPr>
          <w:p>
            <w:r>
              <w:rPr>
                <w:color w:val="1F2937"/>
                <w:sz w:val="18"/>
              </w:rPr>
              <w:t>Hermes CLI/runtime state</w:t>
            </w:r>
          </w:p>
        </w:tc>
        <w:tc>
          <w:tcPr>
            <w:tcW w:type="dxa" w:w="2376"/>
            <w:tcMar>
              <w:top w:w="100" w:type="dxa"/>
              <w:start w:w="120" w:type="dxa"/>
              <w:bottom w:w="100" w:type="dxa"/>
              <w:end w:w="120" w:type="dxa"/>
            </w:tcMar>
            <w:vAlign w:val="center"/>
            <w:shd w:fill="F7F9FC"/>
          </w:tcPr>
          <w:p>
            <w:r>
              <w:rPr>
                <w:color w:val="1F2937"/>
                <w:sz w:val="18"/>
              </w:rPr>
              <w:t>Rotate or replace if receiver changes Hermes identity</w:t>
            </w:r>
          </w:p>
        </w:tc>
      </w:tr>
    </w:tbl>
    <w:p>
      <w:pPr>
        <w:spacing w:after="40"/>
      </w:pPr>
    </w:p>
    <w:p>
      <w:pPr>
        <w:pStyle w:val="Heading1"/>
      </w:pPr>
      <w:r>
        <w:t>10 Data model and persistence design</w:t>
      </w:r>
    </w:p>
    <w:p>
      <w:pPr>
        <w:spacing w:after="140" w:line="259" w:lineRule="auto"/>
      </w:pPr>
      <w:r>
        <w:t>The logical model centers on organizations, projects, users, experts and editions, deployments, manifests, documents/chunks, messages/executions and artifacts/QA. PostgreSQL stores platform_state, platform_records, document_chunks and agent_manifests under schema varadise. The JSON backend uses atomic local saves and lexical chunk search.</w:t>
      </w:r>
    </w:p>
    <w:p>
      <w:pPr>
        <w:spacing w:before="120" w:after="60"/>
        <w:jc w:val="center"/>
      </w:pPr>
      <w:r>
        <w:drawing>
          <wp:inline xmlns:a="http://schemas.openxmlformats.org/drawingml/2006/main" xmlns:pic="http://schemas.openxmlformats.org/drawingml/2006/picture">
            <wp:extent cx="5897880" cy="3538728"/>
            <wp:docPr id="5" name="Picture 5" descr="Image: image5.png"/>
            <wp:cNvGraphicFramePr>
              <a:graphicFrameLocks noChangeAspect="1"/>
            </wp:cNvGraphicFramePr>
            <a:graphic>
              <a:graphicData uri="http://schemas.openxmlformats.org/drawingml/2006/picture">
                <pic:pic>
                  <pic:nvPicPr>
                    <pic:cNvPr id="0" name="05-core-data-model.png"/>
                    <pic:cNvPicPr/>
                  </pic:nvPicPr>
                  <pic:blipFill>
                    <a:blip r:embed="rId13"/>
                    <a:stretch>
                      <a:fillRect/>
                    </a:stretch>
                  </pic:blipFill>
                  <pic:spPr>
                    <a:xfrm>
                      <a:off x="0" y="0"/>
                      <a:ext cx="5897880" cy="3538728"/>
                    </a:xfrm>
                    <a:prstGeom prst="rect"/>
                  </pic:spPr>
                </pic:pic>
              </a:graphicData>
            </a:graphic>
          </wp:inline>
        </w:drawing>
      </w:r>
    </w:p>
    <w:p>
      <w:pPr>
        <w:spacing w:after="200"/>
        <w:jc w:val="center"/>
      </w:pPr>
      <w:r>
        <w:rPr>
          <w:i/>
          <w:color w:val="595959"/>
          <w:sz w:val="18"/>
        </w:rPr>
        <w:t>Figure 5. Core entities and logical relationships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7365D"/>
            <w:tcMar>
              <w:top w:w="100" w:type="dxa"/>
              <w:start w:w="120" w:type="dxa"/>
              <w:bottom w:w="100" w:type="dxa"/>
              <w:end w:w="120" w:type="dxa"/>
            </w:tcMar>
            <w:vAlign w:val="center"/>
          </w:tcPr>
          <w:p>
            <w:pPr>
              <w:jc w:val="center"/>
            </w:pPr>
            <w:r>
              <w:rPr>
                <w:b/>
                <w:color w:val="FFFFFF"/>
                <w:sz w:val="18"/>
              </w:rPr>
              <w:t>Record family</w:t>
            </w:r>
          </w:p>
        </w:tc>
        <w:tc>
          <w:tcPr>
            <w:tcW w:type="dxa" w:w="4824"/>
            <w:shd w:fill="17365D"/>
            <w:tcMar>
              <w:top w:w="100" w:type="dxa"/>
              <w:start w:w="120" w:type="dxa"/>
              <w:bottom w:w="100" w:type="dxa"/>
              <w:end w:w="120" w:type="dxa"/>
            </w:tcMar>
            <w:vAlign w:val="center"/>
          </w:tcPr>
          <w:p>
            <w:pPr>
              <w:jc w:val="center"/>
            </w:pPr>
            <w:r>
              <w:rPr>
                <w:b/>
                <w:color w:val="FFFFFF"/>
                <w:sz w:val="18"/>
              </w:rPr>
              <w:t>Representative data</w:t>
            </w:r>
          </w:p>
        </w:tc>
        <w:tc>
          <w:tcPr>
            <w:tcW w:type="dxa" w:w="2304"/>
            <w:shd w:fill="17365D"/>
            <w:tcMar>
              <w:top w:w="100" w:type="dxa"/>
              <w:start w:w="120" w:type="dxa"/>
              <w:bottom w:w="100" w:type="dxa"/>
              <w:end w:w="120" w:type="dxa"/>
            </w:tcMar>
            <w:vAlign w:val="center"/>
          </w:tcPr>
          <w:p>
            <w:pPr>
              <w:jc w:val="center"/>
            </w:pPr>
            <w:r>
              <w:rPr>
                <w:b/>
                <w:color w:val="FFFFFF"/>
                <w:sz w:val="18"/>
              </w:rPr>
              <w:t>Integrity rule</w:t>
            </w:r>
          </w:p>
        </w:tc>
      </w:tr>
      <w:tr>
        <w:tc>
          <w:tcPr>
            <w:tcW w:type="dxa" w:w="2088"/>
            <w:tcMar>
              <w:top w:w="100" w:type="dxa"/>
              <w:start w:w="120" w:type="dxa"/>
              <w:bottom w:w="100" w:type="dxa"/>
              <w:end w:w="120" w:type="dxa"/>
            </w:tcMar>
            <w:vAlign w:val="center"/>
          </w:tcPr>
          <w:p>
            <w:r>
              <w:rPr>
                <w:color w:val="1F2937"/>
                <w:sz w:val="18"/>
              </w:rPr>
              <w:t>Identity and scope</w:t>
            </w:r>
          </w:p>
        </w:tc>
        <w:tc>
          <w:tcPr>
            <w:tcW w:type="dxa" w:w="4824"/>
            <w:tcMar>
              <w:top w:w="100" w:type="dxa"/>
              <w:start w:w="120" w:type="dxa"/>
              <w:bottom w:w="100" w:type="dxa"/>
              <w:end w:w="120" w:type="dxa"/>
            </w:tcMar>
            <w:vAlign w:val="center"/>
          </w:tcPr>
          <w:p>
            <w:r>
              <w:rPr>
                <w:color w:val="1F2937"/>
                <w:sz w:val="18"/>
              </w:rPr>
              <w:t>organizations, projects, users, memberships, allowlists</w:t>
            </w:r>
          </w:p>
        </w:tc>
        <w:tc>
          <w:tcPr>
            <w:tcW w:type="dxa" w:w="2304"/>
            <w:tcMar>
              <w:top w:w="100" w:type="dxa"/>
              <w:start w:w="120" w:type="dxa"/>
              <w:bottom w:w="100" w:type="dxa"/>
              <w:end w:w="120" w:type="dxa"/>
            </w:tcMar>
            <w:vAlign w:val="center"/>
          </w:tcPr>
          <w:p>
            <w:r>
              <w:rPr>
                <w:color w:val="1F2937"/>
                <w:sz w:val="18"/>
              </w:rPr>
              <w:t>Every access decision resolves selected IDs against stored scope.</w:t>
            </w:r>
          </w:p>
        </w:tc>
      </w:tr>
      <w:tr>
        <w:tc>
          <w:tcPr>
            <w:tcW w:type="dxa" w:w="2088"/>
            <w:tcMar>
              <w:top w:w="100" w:type="dxa"/>
              <w:start w:w="120" w:type="dxa"/>
              <w:bottom w:w="100" w:type="dxa"/>
              <w:end w:w="120" w:type="dxa"/>
            </w:tcMar>
            <w:vAlign w:val="center"/>
            <w:shd w:fill="F7F9FC"/>
          </w:tcPr>
          <w:p>
            <w:r>
              <w:rPr>
                <w:color w:val="1F2937"/>
                <w:sz w:val="18"/>
              </w:rPr>
              <w:t>Expert configuration</w:t>
            </w:r>
          </w:p>
        </w:tc>
        <w:tc>
          <w:tcPr>
            <w:tcW w:type="dxa" w:w="4824"/>
            <w:tcMar>
              <w:top w:w="100" w:type="dxa"/>
              <w:start w:w="120" w:type="dxa"/>
              <w:bottom w:w="100" w:type="dxa"/>
              <w:end w:w="120" w:type="dxa"/>
            </w:tcMar>
            <w:vAlign w:val="center"/>
            <w:shd w:fill="F7F9FC"/>
          </w:tcPr>
          <w:p>
            <w:r>
              <w:rPr>
                <w:color w:val="1F2937"/>
                <w:sz w:val="18"/>
              </w:rPr>
              <w:t>expert editions, component snapshots, lessons, templates</w:t>
            </w:r>
          </w:p>
        </w:tc>
        <w:tc>
          <w:tcPr>
            <w:tcW w:type="dxa" w:w="2304"/>
            <w:tcMar>
              <w:top w:w="100" w:type="dxa"/>
              <w:start w:w="120" w:type="dxa"/>
              <w:bottom w:w="100" w:type="dxa"/>
              <w:end w:w="120" w:type="dxa"/>
            </w:tcMar>
            <w:vAlign w:val="center"/>
            <w:shd w:fill="F7F9FC"/>
          </w:tcPr>
          <w:p>
            <w:r>
              <w:rPr>
                <w:color w:val="1F2937"/>
                <w:sz w:val="18"/>
              </w:rPr>
              <w:t>Deployment stores pinned snapshots and manifest revision/hash.</w:t>
            </w:r>
          </w:p>
        </w:tc>
      </w:tr>
      <w:tr>
        <w:tc>
          <w:tcPr>
            <w:tcW w:type="dxa" w:w="2088"/>
            <w:tcMar>
              <w:top w:w="100" w:type="dxa"/>
              <w:start w:w="120" w:type="dxa"/>
              <w:bottom w:w="100" w:type="dxa"/>
              <w:end w:w="120" w:type="dxa"/>
            </w:tcMar>
            <w:vAlign w:val="center"/>
          </w:tcPr>
          <w:p>
            <w:r>
              <w:rPr>
                <w:color w:val="1F2937"/>
                <w:sz w:val="18"/>
              </w:rPr>
              <w:t>Conversation</w:t>
            </w:r>
          </w:p>
        </w:tc>
        <w:tc>
          <w:tcPr>
            <w:tcW w:type="dxa" w:w="4824"/>
            <w:tcMar>
              <w:top w:w="100" w:type="dxa"/>
              <w:start w:w="120" w:type="dxa"/>
              <w:bottom w:w="100" w:type="dxa"/>
              <w:end w:w="120" w:type="dxa"/>
            </w:tcMar>
            <w:vAlign w:val="center"/>
          </w:tcPr>
          <w:p>
            <w:r>
              <w:rPr>
                <w:color w:val="1F2937"/>
                <w:sz w:val="18"/>
              </w:rPr>
              <w:t>messages, inbound WhatsApp IDs, context transcript, approvals</w:t>
            </w:r>
          </w:p>
        </w:tc>
        <w:tc>
          <w:tcPr>
            <w:tcW w:type="dxa" w:w="2304"/>
            <w:tcMar>
              <w:top w:w="100" w:type="dxa"/>
              <w:start w:w="120" w:type="dxa"/>
              <w:bottom w:w="100" w:type="dxa"/>
              <w:end w:w="120" w:type="dxa"/>
            </w:tcMar>
            <w:vAlign w:val="center"/>
          </w:tcPr>
          <w:p>
            <w:r>
              <w:rPr>
                <w:color w:val="1F2937"/>
                <w:sz w:val="18"/>
              </w:rPr>
              <w:t>Lifecycle state is explicit; duplicate inbound IDs are ignored.</w:t>
            </w:r>
          </w:p>
        </w:tc>
      </w:tr>
      <w:tr>
        <w:tc>
          <w:tcPr>
            <w:tcW w:type="dxa" w:w="2088"/>
            <w:tcMar>
              <w:top w:w="100" w:type="dxa"/>
              <w:start w:w="120" w:type="dxa"/>
              <w:bottom w:w="100" w:type="dxa"/>
              <w:end w:w="120" w:type="dxa"/>
            </w:tcMar>
            <w:vAlign w:val="center"/>
            <w:shd w:fill="F7F9FC"/>
          </w:tcPr>
          <w:p>
            <w:r>
              <w:rPr>
                <w:color w:val="1F2937"/>
                <w:sz w:val="18"/>
              </w:rPr>
              <w:t>Execution</w:t>
            </w:r>
          </w:p>
        </w:tc>
        <w:tc>
          <w:tcPr>
            <w:tcW w:type="dxa" w:w="4824"/>
            <w:tcMar>
              <w:top w:w="100" w:type="dxa"/>
              <w:start w:w="120" w:type="dxa"/>
              <w:bottom w:w="100" w:type="dxa"/>
              <w:end w:w="120" w:type="dxa"/>
            </w:tcMar>
            <w:vAlign w:val="center"/>
            <w:shd w:fill="F7F9FC"/>
          </w:tcPr>
          <w:p>
            <w:r>
              <w:rPr>
                <w:color w:val="1F2937"/>
                <w:sz w:val="18"/>
              </w:rPr>
              <w:t>provider request/response, trace, tool calls, memory events</w:t>
            </w:r>
          </w:p>
        </w:tc>
        <w:tc>
          <w:tcPr>
            <w:tcW w:type="dxa" w:w="2304"/>
            <w:tcMar>
              <w:top w:w="100" w:type="dxa"/>
              <w:start w:w="120" w:type="dxa"/>
              <w:bottom w:w="100" w:type="dxa"/>
              <w:end w:w="120" w:type="dxa"/>
            </w:tcMar>
            <w:vAlign w:val="center"/>
            <w:shd w:fill="F7F9FC"/>
          </w:tcPr>
          <w:p>
            <w:r>
              <w:rPr>
                <w:color w:val="1F2937"/>
                <w:sz w:val="18"/>
              </w:rPr>
              <w:t>Trace records retain deployment manifest revision/hash.</w:t>
            </w:r>
          </w:p>
        </w:tc>
      </w:tr>
      <w:tr>
        <w:tc>
          <w:tcPr>
            <w:tcW w:type="dxa" w:w="2088"/>
            <w:tcMar>
              <w:top w:w="100" w:type="dxa"/>
              <w:start w:w="120" w:type="dxa"/>
              <w:bottom w:w="100" w:type="dxa"/>
              <w:end w:w="120" w:type="dxa"/>
            </w:tcMar>
            <w:vAlign w:val="center"/>
          </w:tcPr>
          <w:p>
            <w:r>
              <w:rPr>
                <w:color w:val="1F2937"/>
                <w:sz w:val="18"/>
              </w:rPr>
              <w:t>Documents</w:t>
            </w:r>
          </w:p>
        </w:tc>
        <w:tc>
          <w:tcPr>
            <w:tcW w:type="dxa" w:w="4824"/>
            <w:tcMar>
              <w:top w:w="100" w:type="dxa"/>
              <w:start w:w="120" w:type="dxa"/>
              <w:bottom w:w="100" w:type="dxa"/>
              <w:end w:w="120" w:type="dxa"/>
            </w:tcMar>
            <w:vAlign w:val="center"/>
          </w:tcPr>
          <w:p>
            <w:r>
              <w:rPr>
                <w:color w:val="1F2937"/>
                <w:sz w:val="18"/>
              </w:rPr>
              <w:t>managed metadata, chunks, retrieval visibility and folder allowlists</w:t>
            </w:r>
          </w:p>
        </w:tc>
        <w:tc>
          <w:tcPr>
            <w:tcW w:type="dxa" w:w="2304"/>
            <w:tcMar>
              <w:top w:w="100" w:type="dxa"/>
              <w:start w:w="120" w:type="dxa"/>
              <w:bottom w:w="100" w:type="dxa"/>
              <w:end w:w="120" w:type="dxa"/>
            </w:tcMar>
            <w:vAlign w:val="center"/>
          </w:tcPr>
          <w:p>
            <w:r>
              <w:rPr>
                <w:color w:val="1F2937"/>
                <w:sz w:val="18"/>
              </w:rPr>
              <w:t>Project and deployment filters are applied before context is returned.</w:t>
            </w:r>
          </w:p>
        </w:tc>
      </w:tr>
      <w:tr>
        <w:tc>
          <w:tcPr>
            <w:tcW w:type="dxa" w:w="2088"/>
            <w:tcMar>
              <w:top w:w="100" w:type="dxa"/>
              <w:start w:w="120" w:type="dxa"/>
              <w:bottom w:w="100" w:type="dxa"/>
              <w:end w:w="120" w:type="dxa"/>
            </w:tcMar>
            <w:vAlign w:val="center"/>
            <w:shd w:fill="F7F9FC"/>
          </w:tcPr>
          <w:p>
            <w:r>
              <w:rPr>
                <w:color w:val="1F2937"/>
                <w:sz w:val="18"/>
              </w:rPr>
              <w:t>Artifacts</w:t>
            </w:r>
          </w:p>
        </w:tc>
        <w:tc>
          <w:tcPr>
            <w:tcW w:type="dxa" w:w="4824"/>
            <w:tcMar>
              <w:top w:w="100" w:type="dxa"/>
              <w:start w:w="120" w:type="dxa"/>
              <w:bottom w:w="100" w:type="dxa"/>
              <w:end w:w="120" w:type="dxa"/>
            </w:tcMar>
            <w:vAlign w:val="center"/>
            <w:shd w:fill="F7F9FC"/>
          </w:tcPr>
          <w:p>
            <w:r>
              <w:rPr>
                <w:color w:val="1F2937"/>
                <w:sz w:val="18"/>
              </w:rPr>
              <w:t>generated files, template revision, QA findings, evidence and delivery state</w:t>
            </w:r>
          </w:p>
        </w:tc>
        <w:tc>
          <w:tcPr>
            <w:tcW w:type="dxa" w:w="2304"/>
            <w:tcMar>
              <w:top w:w="100" w:type="dxa"/>
              <w:start w:w="120" w:type="dxa"/>
              <w:bottom w:w="100" w:type="dxa"/>
              <w:end w:w="120" w:type="dxa"/>
            </w:tcMar>
            <w:vAlign w:val="center"/>
            <w:shd w:fill="F7F9FC"/>
          </w:tcPr>
          <w:p>
            <w:r>
              <w:rPr>
                <w:color w:val="1F2937"/>
                <w:sz w:val="18"/>
              </w:rPr>
              <w:t>Empty context or failed validation blocks artifact creation.</w:t>
            </w:r>
          </w:p>
        </w:tc>
      </w:tr>
    </w:tbl>
    <w:p>
      <w:pPr>
        <w:spacing w:after="40"/>
      </w:pPr>
    </w:p>
    <w:p>
      <w:pPr>
        <w:pStyle w:val="Heading1"/>
      </w:pPr>
      <w:r>
        <w:t>11 Agent Chat workflow</w:t>
      </w:r>
    </w:p>
    <w:p>
      <w:pPr>
        <w:spacing w:after="140" w:line="259" w:lineRule="auto"/>
      </w:pPr>
      <w:r>
        <w:t>Agent Chat is coordinator-first. The control plane receives a message, authenticates the session, resolves project and deployment scope, prepares retrieval and template context, executes through the configured path, and persists the result. Direct mode streams an OpenAI-compatible chat completion. Hermes mode sends a bounded request envelope and validates the response schema.</w:t>
      </w:r>
    </w:p>
    <w:p>
      <w:pPr>
        <w:spacing w:before="120" w:after="60"/>
        <w:jc w:val="center"/>
      </w:pPr>
      <w:r>
        <w:drawing>
          <wp:inline xmlns:a="http://schemas.openxmlformats.org/drawingml/2006/main" xmlns:pic="http://schemas.openxmlformats.org/drawingml/2006/picture">
            <wp:extent cx="5897880" cy="3538728"/>
            <wp:docPr id="6" name="Picture 6" descr="Image: image6.png"/>
            <wp:cNvGraphicFramePr>
              <a:graphicFrameLocks noChangeAspect="1"/>
            </wp:cNvGraphicFramePr>
            <a:graphic>
              <a:graphicData uri="http://schemas.openxmlformats.org/drawingml/2006/picture">
                <pic:pic>
                  <pic:nvPicPr>
                    <pic:cNvPr id="0" name="06-level-one-data-flow.png"/>
                    <pic:cNvPicPr/>
                  </pic:nvPicPr>
                  <pic:blipFill>
                    <a:blip r:embed="rId14"/>
                    <a:stretch>
                      <a:fillRect/>
                    </a:stretch>
                  </pic:blipFill>
                  <pic:spPr>
                    <a:xfrm>
                      <a:off x="0" y="0"/>
                      <a:ext cx="5897880" cy="3538728"/>
                    </a:xfrm>
                    <a:prstGeom prst="rect"/>
                  </pic:spPr>
                </pic:pic>
              </a:graphicData>
            </a:graphic>
          </wp:inline>
        </w:drawing>
      </w:r>
    </w:p>
    <w:p>
      <w:pPr>
        <w:spacing w:after="200"/>
        <w:jc w:val="center"/>
      </w:pPr>
      <w:r>
        <w:rPr>
          <w:i/>
          <w:color w:val="595959"/>
          <w:sz w:val="18"/>
        </w:rPr>
        <w:t>Figure 6. Level one data flow</w:t>
      </w:r>
    </w:p>
    <w:p>
      <w:pPr>
        <w:spacing w:before="120" w:after="60"/>
        <w:jc w:val="center"/>
      </w:pPr>
      <w:r>
        <w:drawing>
          <wp:inline xmlns:a="http://schemas.openxmlformats.org/drawingml/2006/main" xmlns:pic="http://schemas.openxmlformats.org/drawingml/2006/picture">
            <wp:extent cx="5897880" cy="3538728"/>
            <wp:docPr id="7" name="Picture 7" descr="Image: image7.png"/>
            <wp:cNvGraphicFramePr>
              <a:graphicFrameLocks noChangeAspect="1"/>
            </wp:cNvGraphicFramePr>
            <a:graphic>
              <a:graphicData uri="http://schemas.openxmlformats.org/drawingml/2006/picture">
                <pic:pic>
                  <pic:nvPicPr>
                    <pic:cNvPr id="0" name="07-agent-chat-sequence.png"/>
                    <pic:cNvPicPr/>
                  </pic:nvPicPr>
                  <pic:blipFill>
                    <a:blip r:embed="rId15"/>
                    <a:stretch>
                      <a:fillRect/>
                    </a:stretch>
                  </pic:blipFill>
                  <pic:spPr>
                    <a:xfrm>
                      <a:off x="0" y="0"/>
                      <a:ext cx="5897880" cy="3538728"/>
                    </a:xfrm>
                    <a:prstGeom prst="rect"/>
                  </pic:spPr>
                </pic:pic>
              </a:graphicData>
            </a:graphic>
          </wp:inline>
        </w:drawing>
      </w:r>
    </w:p>
    <w:p>
      <w:pPr>
        <w:spacing w:after="200"/>
        <w:jc w:val="center"/>
      </w:pPr>
      <w:r>
        <w:rPr>
          <w:i/>
          <w:color w:val="595959"/>
          <w:sz w:val="18"/>
        </w:rPr>
        <w:t>Figure 7. Agent Chat sequence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7365D"/>
            <w:tcMar>
              <w:top w:w="100" w:type="dxa"/>
              <w:start w:w="120" w:type="dxa"/>
              <w:bottom w:w="100" w:type="dxa"/>
              <w:end w:w="120" w:type="dxa"/>
            </w:tcMar>
            <w:vAlign w:val="center"/>
          </w:tcPr>
          <w:p>
            <w:pPr>
              <w:jc w:val="center"/>
            </w:pPr>
            <w:r>
              <w:rPr>
                <w:b/>
                <w:color w:val="FFFFFF"/>
                <w:sz w:val="18"/>
              </w:rPr>
              <w:t>Stage</w:t>
            </w:r>
          </w:p>
        </w:tc>
        <w:tc>
          <w:tcPr>
            <w:tcW w:type="dxa" w:w="4752"/>
            <w:shd w:fill="17365D"/>
            <w:tcMar>
              <w:top w:w="100" w:type="dxa"/>
              <w:start w:w="120" w:type="dxa"/>
              <w:bottom w:w="100" w:type="dxa"/>
              <w:end w:w="120" w:type="dxa"/>
            </w:tcMar>
            <w:vAlign w:val="center"/>
          </w:tcPr>
          <w:p>
            <w:pPr>
              <w:jc w:val="center"/>
            </w:pPr>
            <w:r>
              <w:rPr>
                <w:b/>
                <w:color w:val="FFFFFF"/>
                <w:sz w:val="18"/>
              </w:rPr>
              <w:t>Control-plane behavior</w:t>
            </w:r>
          </w:p>
        </w:tc>
        <w:tc>
          <w:tcPr>
            <w:tcW w:type="dxa" w:w="2304"/>
            <w:shd w:fill="17365D"/>
            <w:tcMar>
              <w:top w:w="100" w:type="dxa"/>
              <w:start w:w="120" w:type="dxa"/>
              <w:bottom w:w="100" w:type="dxa"/>
              <w:end w:w="120" w:type="dxa"/>
            </w:tcMar>
            <w:vAlign w:val="center"/>
          </w:tcPr>
          <w:p>
            <w:pPr>
              <w:jc w:val="center"/>
            </w:pPr>
            <w:r>
              <w:rPr>
                <w:b/>
                <w:color w:val="FFFFFF"/>
                <w:sz w:val="18"/>
              </w:rPr>
              <w:t>Failure recorded when</w:t>
            </w:r>
          </w:p>
        </w:tc>
      </w:tr>
      <w:tr>
        <w:tc>
          <w:tcPr>
            <w:tcW w:type="dxa" w:w="2088"/>
            <w:tcMar>
              <w:top w:w="100" w:type="dxa"/>
              <w:start w:w="120" w:type="dxa"/>
              <w:bottom w:w="100" w:type="dxa"/>
              <w:end w:w="120" w:type="dxa"/>
            </w:tcMar>
            <w:vAlign w:val="center"/>
          </w:tcPr>
          <w:p>
            <w:r>
              <w:rPr>
                <w:color w:val="1F2937"/>
                <w:sz w:val="18"/>
              </w:rPr>
              <w:t>received</w:t>
            </w:r>
          </w:p>
        </w:tc>
        <w:tc>
          <w:tcPr>
            <w:tcW w:type="dxa" w:w="4752"/>
            <w:tcMar>
              <w:top w:w="100" w:type="dxa"/>
              <w:start w:w="120" w:type="dxa"/>
              <w:bottom w:w="100" w:type="dxa"/>
              <w:end w:w="120" w:type="dxa"/>
            </w:tcMar>
            <w:vAlign w:val="center"/>
          </w:tcPr>
          <w:p>
            <w:r>
              <w:rPr>
                <w:color w:val="1F2937"/>
                <w:sz w:val="18"/>
              </w:rPr>
              <w:t>Accept message and normalize attachments</w:t>
            </w:r>
          </w:p>
        </w:tc>
        <w:tc>
          <w:tcPr>
            <w:tcW w:type="dxa" w:w="2304"/>
            <w:tcMar>
              <w:top w:w="100" w:type="dxa"/>
              <w:start w:w="120" w:type="dxa"/>
              <w:bottom w:w="100" w:type="dxa"/>
              <w:end w:w="120" w:type="dxa"/>
            </w:tcMar>
            <w:vAlign w:val="center"/>
          </w:tcPr>
          <w:p>
            <w:r>
              <w:rPr>
                <w:color w:val="1F2937"/>
                <w:sz w:val="18"/>
              </w:rPr>
              <w:t>Payload cannot be parsed or attachment metadata is invalid</w:t>
            </w:r>
          </w:p>
        </w:tc>
      </w:tr>
      <w:tr>
        <w:tc>
          <w:tcPr>
            <w:tcW w:type="dxa" w:w="2088"/>
            <w:tcMar>
              <w:top w:w="100" w:type="dxa"/>
              <w:start w:w="120" w:type="dxa"/>
              <w:bottom w:w="100" w:type="dxa"/>
              <w:end w:w="120" w:type="dxa"/>
            </w:tcMar>
            <w:vAlign w:val="center"/>
            <w:shd w:fill="F7F9FC"/>
          </w:tcPr>
          <w:p>
            <w:r>
              <w:rPr>
                <w:color w:val="1F2937"/>
                <w:sz w:val="18"/>
              </w:rPr>
              <w:t>authorized</w:t>
            </w:r>
          </w:p>
        </w:tc>
        <w:tc>
          <w:tcPr>
            <w:tcW w:type="dxa" w:w="4752"/>
            <w:tcMar>
              <w:top w:w="100" w:type="dxa"/>
              <w:start w:w="120" w:type="dxa"/>
              <w:bottom w:w="100" w:type="dxa"/>
              <w:end w:w="120" w:type="dxa"/>
            </w:tcMar>
            <w:vAlign w:val="center"/>
            <w:shd w:fill="F7F9FC"/>
          </w:tcPr>
          <w:p>
            <w:r>
              <w:rPr>
                <w:color w:val="1F2937"/>
                <w:sz w:val="18"/>
              </w:rPr>
              <w:t>Validate session, permission, organization/project/agent scope</w:t>
            </w:r>
          </w:p>
        </w:tc>
        <w:tc>
          <w:tcPr>
            <w:tcW w:type="dxa" w:w="2304"/>
            <w:tcMar>
              <w:top w:w="100" w:type="dxa"/>
              <w:start w:w="120" w:type="dxa"/>
              <w:bottom w:w="100" w:type="dxa"/>
              <w:end w:w="120" w:type="dxa"/>
            </w:tcMar>
            <w:vAlign w:val="center"/>
            <w:shd w:fill="F7F9FC"/>
          </w:tcPr>
          <w:p>
            <w:r>
              <w:rPr>
                <w:color w:val="1F2937"/>
                <w:sz w:val="18"/>
              </w:rPr>
              <w:t>User lacks agents.chat or selected scope</w:t>
            </w:r>
          </w:p>
        </w:tc>
      </w:tr>
      <w:tr>
        <w:tc>
          <w:tcPr>
            <w:tcW w:type="dxa" w:w="2088"/>
            <w:tcMar>
              <w:top w:w="100" w:type="dxa"/>
              <w:start w:w="120" w:type="dxa"/>
              <w:bottom w:w="100" w:type="dxa"/>
              <w:end w:w="120" w:type="dxa"/>
            </w:tcMar>
            <w:vAlign w:val="center"/>
          </w:tcPr>
          <w:p>
            <w:r>
              <w:rPr>
                <w:color w:val="1F2937"/>
                <w:sz w:val="18"/>
              </w:rPr>
              <w:t>deployment_resolved</w:t>
            </w:r>
          </w:p>
        </w:tc>
        <w:tc>
          <w:tcPr>
            <w:tcW w:type="dxa" w:w="4752"/>
            <w:tcMar>
              <w:top w:w="100" w:type="dxa"/>
              <w:start w:w="120" w:type="dxa"/>
              <w:bottom w:w="100" w:type="dxa"/>
              <w:end w:w="120" w:type="dxa"/>
            </w:tcMar>
            <w:vAlign w:val="center"/>
          </w:tcPr>
          <w:p>
            <w:r>
              <w:rPr>
                <w:color w:val="1F2937"/>
                <w:sz w:val="18"/>
              </w:rPr>
              <w:t>Load active deployment and manifest revision</w:t>
            </w:r>
          </w:p>
        </w:tc>
        <w:tc>
          <w:tcPr>
            <w:tcW w:type="dxa" w:w="2304"/>
            <w:tcMar>
              <w:top w:w="100" w:type="dxa"/>
              <w:start w:w="120" w:type="dxa"/>
              <w:bottom w:w="100" w:type="dxa"/>
              <w:end w:w="120" w:type="dxa"/>
            </w:tcMar>
            <w:vAlign w:val="center"/>
          </w:tcPr>
          <w:p>
            <w:r>
              <w:rPr>
                <w:color w:val="1F2937"/>
                <w:sz w:val="18"/>
              </w:rPr>
              <w:t>No active deployment or requested expert unavailable</w:t>
            </w:r>
          </w:p>
        </w:tc>
      </w:tr>
      <w:tr>
        <w:tc>
          <w:tcPr>
            <w:tcW w:type="dxa" w:w="2088"/>
            <w:tcMar>
              <w:top w:w="100" w:type="dxa"/>
              <w:start w:w="120" w:type="dxa"/>
              <w:bottom w:w="100" w:type="dxa"/>
              <w:end w:w="120" w:type="dxa"/>
            </w:tcMar>
            <w:vAlign w:val="center"/>
            <w:shd w:fill="F7F9FC"/>
          </w:tcPr>
          <w:p>
            <w:r>
              <w:rPr>
                <w:color w:val="1F2937"/>
                <w:sz w:val="18"/>
              </w:rPr>
              <w:t>context_prepared</w:t>
            </w:r>
          </w:p>
        </w:tc>
        <w:tc>
          <w:tcPr>
            <w:tcW w:type="dxa" w:w="4752"/>
            <w:tcMar>
              <w:top w:w="100" w:type="dxa"/>
              <w:start w:w="120" w:type="dxa"/>
              <w:bottom w:w="100" w:type="dxa"/>
              <w:end w:w="120" w:type="dxa"/>
            </w:tcMar>
            <w:vAlign w:val="center"/>
            <w:shd w:fill="F7F9FC"/>
          </w:tcPr>
          <w:p>
            <w:r>
              <w:rPr>
                <w:color w:val="1F2937"/>
                <w:sz w:val="18"/>
              </w:rPr>
              <w:t>Retrieve scoped chunks, images, templates, WhatsApp transcript and activity</w:t>
            </w:r>
          </w:p>
        </w:tc>
        <w:tc>
          <w:tcPr>
            <w:tcW w:type="dxa" w:w="2304"/>
            <w:tcMar>
              <w:top w:w="100" w:type="dxa"/>
              <w:start w:w="120" w:type="dxa"/>
              <w:bottom w:w="100" w:type="dxa"/>
              <w:end w:w="120" w:type="dxa"/>
            </w:tcMar>
            <w:vAlign w:val="center"/>
            <w:shd w:fill="F7F9FC"/>
          </w:tcPr>
          <w:p>
            <w:r>
              <w:rPr>
                <w:color w:val="1F2937"/>
                <w:sz w:val="18"/>
              </w:rPr>
              <w:t>Retrieval or context preparation fails</w:t>
            </w:r>
          </w:p>
        </w:tc>
      </w:tr>
      <w:tr>
        <w:tc>
          <w:tcPr>
            <w:tcW w:type="dxa" w:w="2088"/>
            <w:tcMar>
              <w:top w:w="100" w:type="dxa"/>
              <w:start w:w="120" w:type="dxa"/>
              <w:bottom w:w="100" w:type="dxa"/>
              <w:end w:w="120" w:type="dxa"/>
            </w:tcMar>
            <w:vAlign w:val="center"/>
          </w:tcPr>
          <w:p>
            <w:r>
              <w:rPr>
                <w:color w:val="1F2937"/>
                <w:sz w:val="18"/>
              </w:rPr>
              <w:t>executing</w:t>
            </w:r>
          </w:p>
        </w:tc>
        <w:tc>
          <w:tcPr>
            <w:tcW w:type="dxa" w:w="4752"/>
            <w:tcMar>
              <w:top w:w="100" w:type="dxa"/>
              <w:start w:w="120" w:type="dxa"/>
              <w:bottom w:w="100" w:type="dxa"/>
              <w:end w:w="120" w:type="dxa"/>
            </w:tcMar>
            <w:vAlign w:val="center"/>
          </w:tcPr>
          <w:p>
            <w:r>
              <w:rPr>
                <w:color w:val="1F2937"/>
                <w:sz w:val="18"/>
              </w:rPr>
              <w:t>Run direct provider or Hermes request within timeout and tool allowlist</w:t>
            </w:r>
          </w:p>
        </w:tc>
        <w:tc>
          <w:tcPr>
            <w:tcW w:type="dxa" w:w="2304"/>
            <w:tcMar>
              <w:top w:w="100" w:type="dxa"/>
              <w:start w:w="120" w:type="dxa"/>
              <w:bottom w:w="100" w:type="dxa"/>
              <w:end w:w="120" w:type="dxa"/>
            </w:tcMar>
            <w:vAlign w:val="center"/>
          </w:tcPr>
          <w:p>
            <w:r>
              <w:rPr>
                <w:color w:val="1F2937"/>
                <w:sz w:val="18"/>
              </w:rPr>
              <w:t>Provider, middleware, schema or timeout failure</w:t>
            </w:r>
          </w:p>
        </w:tc>
      </w:tr>
      <w:tr>
        <w:tc>
          <w:tcPr>
            <w:tcW w:type="dxa" w:w="2088"/>
            <w:tcMar>
              <w:top w:w="100" w:type="dxa"/>
              <w:start w:w="120" w:type="dxa"/>
              <w:bottom w:w="100" w:type="dxa"/>
              <w:end w:w="120" w:type="dxa"/>
            </w:tcMar>
            <w:vAlign w:val="center"/>
            <w:shd w:fill="F7F9FC"/>
          </w:tcPr>
          <w:p>
            <w:r>
              <w:rPr>
                <w:color w:val="1F2937"/>
                <w:sz w:val="18"/>
              </w:rPr>
              <w:t>awaiting_approval</w:t>
            </w:r>
          </w:p>
        </w:tc>
        <w:tc>
          <w:tcPr>
            <w:tcW w:type="dxa" w:w="4752"/>
            <w:tcMar>
              <w:top w:w="100" w:type="dxa"/>
              <w:start w:w="120" w:type="dxa"/>
              <w:bottom w:w="100" w:type="dxa"/>
              <w:end w:w="120" w:type="dxa"/>
            </w:tcMar>
            <w:vAlign w:val="center"/>
            <w:shd w:fill="F7F9FC"/>
          </w:tcPr>
          <w:p>
            <w:r>
              <w:rPr>
                <w:color w:val="1F2937"/>
                <w:sz w:val="18"/>
              </w:rPr>
              <w:t>Pause with concrete permitted tool call</w:t>
            </w:r>
          </w:p>
        </w:tc>
        <w:tc>
          <w:tcPr>
            <w:tcW w:type="dxa" w:w="2304"/>
            <w:tcMar>
              <w:top w:w="100" w:type="dxa"/>
              <w:start w:w="120" w:type="dxa"/>
              <w:bottom w:w="100" w:type="dxa"/>
              <w:end w:w="120" w:type="dxa"/>
            </w:tcMar>
            <w:vAlign w:val="center"/>
            <w:shd w:fill="F7F9FC"/>
          </w:tcPr>
          <w:p>
            <w:r>
              <w:rPr>
                <w:color w:val="1F2937"/>
                <w:sz w:val="18"/>
              </w:rPr>
              <w:t>Approval is missing, expired or not allowed</w:t>
            </w:r>
          </w:p>
        </w:tc>
      </w:tr>
      <w:tr>
        <w:tc>
          <w:tcPr>
            <w:tcW w:type="dxa" w:w="2088"/>
            <w:tcMar>
              <w:top w:w="100" w:type="dxa"/>
              <w:start w:w="120" w:type="dxa"/>
              <w:bottom w:w="100" w:type="dxa"/>
              <w:end w:w="120" w:type="dxa"/>
            </w:tcMar>
            <w:vAlign w:val="center"/>
          </w:tcPr>
          <w:p>
            <w:r>
              <w:rPr>
                <w:color w:val="1F2937"/>
                <w:sz w:val="18"/>
              </w:rPr>
              <w:t>generating_artifact / validating_artifact</w:t>
            </w:r>
          </w:p>
        </w:tc>
        <w:tc>
          <w:tcPr>
            <w:tcW w:type="dxa" w:w="4752"/>
            <w:tcMar>
              <w:top w:w="100" w:type="dxa"/>
              <w:start w:w="120" w:type="dxa"/>
              <w:bottom w:w="100" w:type="dxa"/>
              <w:end w:w="120" w:type="dxa"/>
            </w:tcMar>
            <w:vAlign w:val="center"/>
          </w:tcPr>
          <w:p>
            <w:r>
              <w:rPr>
                <w:color w:val="1F2937"/>
                <w:sz w:val="18"/>
              </w:rPr>
              <w:t>Render managed template and run report QA</w:t>
            </w:r>
          </w:p>
        </w:tc>
        <w:tc>
          <w:tcPr>
            <w:tcW w:type="dxa" w:w="2304"/>
            <w:tcMar>
              <w:top w:w="100" w:type="dxa"/>
              <w:start w:w="120" w:type="dxa"/>
              <w:bottom w:w="100" w:type="dxa"/>
              <w:end w:w="120" w:type="dxa"/>
            </w:tcMar>
            <w:vAlign w:val="center"/>
          </w:tcPr>
          <w:p>
            <w:r>
              <w:rPr>
                <w:color w:val="1F2937"/>
                <w:sz w:val="18"/>
              </w:rPr>
              <w:t>Missing context, invalid JSON, protected layout or QA failure</w:t>
            </w:r>
          </w:p>
        </w:tc>
      </w:tr>
      <w:tr>
        <w:tc>
          <w:tcPr>
            <w:tcW w:type="dxa" w:w="2088"/>
            <w:tcMar>
              <w:top w:w="100" w:type="dxa"/>
              <w:start w:w="120" w:type="dxa"/>
              <w:bottom w:w="100" w:type="dxa"/>
              <w:end w:w="120" w:type="dxa"/>
            </w:tcMar>
            <w:vAlign w:val="center"/>
            <w:shd w:fill="F7F9FC"/>
          </w:tcPr>
          <w:p>
            <w:r>
              <w:rPr>
                <w:color w:val="1F2937"/>
                <w:sz w:val="18"/>
              </w:rPr>
              <w:t>delivery_submitted / acknowledged</w:t>
            </w:r>
          </w:p>
        </w:tc>
        <w:tc>
          <w:tcPr>
            <w:tcW w:type="dxa" w:w="4752"/>
            <w:tcMar>
              <w:top w:w="100" w:type="dxa"/>
              <w:start w:w="120" w:type="dxa"/>
              <w:bottom w:w="100" w:type="dxa"/>
              <w:end w:w="120" w:type="dxa"/>
            </w:tcMar>
            <w:vAlign w:val="center"/>
            <w:shd w:fill="F7F9FC"/>
          </w:tcPr>
          <w:p>
            <w:r>
              <w:rPr>
                <w:color w:val="1F2937"/>
                <w:sz w:val="18"/>
              </w:rPr>
              <w:t>Send to browser, WhatsApp or download route and persist acknowledgement</w:t>
            </w:r>
          </w:p>
        </w:tc>
        <w:tc>
          <w:tcPr>
            <w:tcW w:type="dxa" w:w="2304"/>
            <w:tcMar>
              <w:top w:w="100" w:type="dxa"/>
              <w:start w:w="120" w:type="dxa"/>
              <w:bottom w:w="100" w:type="dxa"/>
              <w:end w:w="120" w:type="dxa"/>
            </w:tcMar>
            <w:vAlign w:val="center"/>
            <w:shd w:fill="F7F9FC"/>
          </w:tcPr>
          <w:p>
            <w:r>
              <w:rPr>
                <w:color w:val="1F2937"/>
                <w:sz w:val="18"/>
              </w:rPr>
              <w:t>Send/download fails or delivery acknowledgement is absent</w:t>
            </w:r>
          </w:p>
        </w:tc>
      </w:tr>
    </w:tbl>
    <w:p>
      <w:pPr>
        <w:spacing w:after="40"/>
      </w:pPr>
    </w:p>
    <w:p>
      <w:pPr>
        <w:pStyle w:val="Heading1"/>
      </w:pPr>
      <w:r>
        <w:t>12 WhatsApp workflow</w:t>
      </w:r>
    </w:p>
    <w:p>
      <w:pPr>
        <w:spacing w:after="140" w:line="259" w:lineRule="auto"/>
      </w:pPr>
      <w:r>
        <w:t>Each project may have a separate Baileys multi-file session and bridge port. The bridge accepts only local bridge hosts, uses a callback token, forwards group messages, ignores own messages, applies mention/reply policy, bounds image and voice inputs, and records delivery acknowledgements. The control plane binds verified WhatsApp groups to a project deployment and deduplicates message IDs.</w:t>
      </w:r>
    </w:p>
    <w:p>
      <w:pPr>
        <w:spacing w:before="120" w:after="60"/>
        <w:jc w:val="center"/>
      </w:pPr>
      <w:r>
        <w:drawing>
          <wp:inline xmlns:a="http://schemas.openxmlformats.org/drawingml/2006/main" xmlns:pic="http://schemas.openxmlformats.org/drawingml/2006/picture">
            <wp:extent cx="5897880" cy="3538728"/>
            <wp:docPr id="8" name="Picture 8" descr="Image: image8.png"/>
            <wp:cNvGraphicFramePr>
              <a:graphicFrameLocks noChangeAspect="1"/>
            </wp:cNvGraphicFramePr>
            <a:graphic>
              <a:graphicData uri="http://schemas.openxmlformats.org/drawingml/2006/picture">
                <pic:pic>
                  <pic:nvPicPr>
                    <pic:cNvPr id="0" name="08-whatsapp-workflow.png"/>
                    <pic:cNvPicPr/>
                  </pic:nvPicPr>
                  <pic:blipFill>
                    <a:blip r:embed="rId16"/>
                    <a:stretch>
                      <a:fillRect/>
                    </a:stretch>
                  </pic:blipFill>
                  <pic:spPr>
                    <a:xfrm>
                      <a:off x="0" y="0"/>
                      <a:ext cx="5897880" cy="3538728"/>
                    </a:xfrm>
                    <a:prstGeom prst="rect"/>
                  </pic:spPr>
                </pic:pic>
              </a:graphicData>
            </a:graphic>
          </wp:inline>
        </w:drawing>
      </w:r>
    </w:p>
    <w:p>
      <w:pPr>
        <w:spacing w:after="200"/>
        <w:jc w:val="center"/>
      </w:pPr>
      <w:r>
        <w:rPr>
          <w:i/>
          <w:color w:val="595959"/>
          <w:sz w:val="18"/>
        </w:rPr>
        <w:t>Figure 8. WhatsApp project-group workflow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17365D"/>
            <w:tcMar>
              <w:top w:w="100" w:type="dxa"/>
              <w:start w:w="120" w:type="dxa"/>
              <w:bottom w:w="100" w:type="dxa"/>
              <w:end w:w="120" w:type="dxa"/>
            </w:tcMar>
            <w:vAlign w:val="center"/>
          </w:tcPr>
          <w:p>
            <w:pPr>
              <w:jc w:val="center"/>
            </w:pPr>
            <w:r>
              <w:rPr>
                <w:b/>
                <w:color w:val="FFFFFF"/>
                <w:sz w:val="18"/>
              </w:rPr>
              <w:t>Control</w:t>
            </w:r>
          </w:p>
        </w:tc>
        <w:tc>
          <w:tcPr>
            <w:tcW w:type="dxa" w:w="6912"/>
            <w:shd w:fill="17365D"/>
            <w:tcMar>
              <w:top w:w="100" w:type="dxa"/>
              <w:start w:w="120" w:type="dxa"/>
              <w:bottom w:w="100" w:type="dxa"/>
              <w:end w:w="120" w:type="dxa"/>
            </w:tcMar>
            <w:vAlign w:val="center"/>
          </w:tcPr>
          <w:p>
            <w:pPr>
              <w:jc w:val="center"/>
            </w:pPr>
            <w:r>
              <w:rPr>
                <w:b/>
                <w:color w:val="FFFFFF"/>
                <w:sz w:val="18"/>
              </w:rPr>
              <w:t>Behavior</w:t>
            </w:r>
          </w:p>
        </w:tc>
      </w:tr>
      <w:tr>
        <w:tc>
          <w:tcPr>
            <w:tcW w:type="dxa" w:w="2232"/>
            <w:tcMar>
              <w:top w:w="100" w:type="dxa"/>
              <w:start w:w="120" w:type="dxa"/>
              <w:bottom w:w="100" w:type="dxa"/>
              <w:end w:w="120" w:type="dxa"/>
            </w:tcMar>
            <w:vAlign w:val="center"/>
          </w:tcPr>
          <w:p>
            <w:r>
              <w:rPr>
                <w:color w:val="1F2937"/>
                <w:sz w:val="18"/>
              </w:rPr>
              <w:t>Group binding</w:t>
            </w:r>
          </w:p>
        </w:tc>
        <w:tc>
          <w:tcPr>
            <w:tcW w:type="dxa" w:w="6912"/>
            <w:tcMar>
              <w:top w:w="100" w:type="dxa"/>
              <w:start w:w="120" w:type="dxa"/>
              <w:bottom w:w="100" w:type="dxa"/>
              <w:end w:w="120" w:type="dxa"/>
            </w:tcMar>
            <w:vAlign w:val="center"/>
          </w:tcPr>
          <w:p>
            <w:r>
              <w:rPr>
                <w:color w:val="1F2937"/>
                <w:sz w:val="18"/>
              </w:rPr>
              <w:t>Only a verified @g.us group bound to a project deployment is accepted.</w:t>
            </w:r>
          </w:p>
        </w:tc>
      </w:tr>
      <w:tr>
        <w:tc>
          <w:tcPr>
            <w:tcW w:type="dxa" w:w="2232"/>
            <w:tcMar>
              <w:top w:w="100" w:type="dxa"/>
              <w:start w:w="120" w:type="dxa"/>
              <w:bottom w:w="100" w:type="dxa"/>
              <w:end w:w="120" w:type="dxa"/>
            </w:tcMar>
            <w:vAlign w:val="center"/>
            <w:shd w:fill="F7F9FC"/>
          </w:tcPr>
          <w:p>
            <w:r>
              <w:rPr>
                <w:color w:val="1F2937"/>
                <w:sz w:val="18"/>
              </w:rPr>
              <w:t>Message selection</w:t>
            </w:r>
          </w:p>
        </w:tc>
        <w:tc>
          <w:tcPr>
            <w:tcW w:type="dxa" w:w="6912"/>
            <w:tcMar>
              <w:top w:w="100" w:type="dxa"/>
              <w:start w:w="120" w:type="dxa"/>
              <w:bottom w:w="100" w:type="dxa"/>
              <w:end w:w="120" w:type="dxa"/>
            </w:tcMar>
            <w:vAlign w:val="center"/>
            <w:shd w:fill="F7F9FC"/>
          </w:tcPr>
          <w:p>
            <w:r>
              <w:rPr>
                <w:color w:val="1F2937"/>
                <w:sz w:val="18"/>
              </w:rPr>
              <w:t>Mentions, replies to the agent and interactive selections can trigger processing; captionless voice is suppressed by policy.</w:t>
            </w:r>
          </w:p>
        </w:tc>
      </w:tr>
      <w:tr>
        <w:tc>
          <w:tcPr>
            <w:tcW w:type="dxa" w:w="2232"/>
            <w:tcMar>
              <w:top w:w="100" w:type="dxa"/>
              <w:start w:w="120" w:type="dxa"/>
              <w:bottom w:w="100" w:type="dxa"/>
              <w:end w:w="120" w:type="dxa"/>
            </w:tcMar>
            <w:vAlign w:val="center"/>
          </w:tcPr>
          <w:p>
            <w:r>
              <w:rPr>
                <w:color w:val="1F2937"/>
                <w:sz w:val="18"/>
              </w:rPr>
              <w:t>Context</w:t>
            </w:r>
          </w:p>
        </w:tc>
        <w:tc>
          <w:tcPr>
            <w:tcW w:type="dxa" w:w="6912"/>
            <w:tcMar>
              <w:top w:w="100" w:type="dxa"/>
              <w:start w:w="120" w:type="dxa"/>
              <w:bottom w:w="100" w:type="dxa"/>
              <w:end w:w="120" w:type="dxa"/>
            </w:tcMar>
            <w:vAlign w:val="center"/>
          </w:tcPr>
          <w:p>
            <w:r>
              <w:rPr>
                <w:color w:val="1F2937"/>
                <w:sz w:val="18"/>
              </w:rPr>
              <w:t>Optional project/group transcript is retained for configured hours and bounded by message count and character limit.</w:t>
            </w:r>
          </w:p>
        </w:tc>
      </w:tr>
      <w:tr>
        <w:tc>
          <w:tcPr>
            <w:tcW w:type="dxa" w:w="2232"/>
            <w:tcMar>
              <w:top w:w="100" w:type="dxa"/>
              <w:start w:w="120" w:type="dxa"/>
              <w:bottom w:w="100" w:type="dxa"/>
              <w:end w:w="120" w:type="dxa"/>
            </w:tcMar>
            <w:vAlign w:val="center"/>
            <w:shd w:fill="F7F9FC"/>
          </w:tcPr>
          <w:p>
            <w:r>
              <w:rPr>
                <w:color w:val="1F2937"/>
                <w:sz w:val="18"/>
              </w:rPr>
              <w:t>Media</w:t>
            </w:r>
          </w:p>
        </w:tc>
        <w:tc>
          <w:tcPr>
            <w:tcW w:type="dxa" w:w="6912"/>
            <w:tcMar>
              <w:top w:w="100" w:type="dxa"/>
              <w:start w:w="120" w:type="dxa"/>
              <w:bottom w:w="100" w:type="dxa"/>
              <w:end w:w="120" w:type="dxa"/>
            </w:tcMar>
            <w:vAlign w:val="center"/>
            <w:shd w:fill="F7F9FC"/>
          </w:tcPr>
          <w:p>
            <w:r>
              <w:rPr>
                <w:color w:val="1F2937"/>
                <w:sz w:val="18"/>
              </w:rPr>
              <w:t>Image and voice limits are enforced by the bridge; inbound attachments are passed as bounded context.</w:t>
            </w:r>
          </w:p>
        </w:tc>
      </w:tr>
      <w:tr>
        <w:tc>
          <w:tcPr>
            <w:tcW w:type="dxa" w:w="2232"/>
            <w:tcMar>
              <w:top w:w="100" w:type="dxa"/>
              <w:start w:w="120" w:type="dxa"/>
              <w:bottom w:w="100" w:type="dxa"/>
              <w:end w:w="120" w:type="dxa"/>
            </w:tcMar>
            <w:vAlign w:val="center"/>
          </w:tcPr>
          <w:p>
            <w:r>
              <w:rPr>
                <w:color w:val="1F2937"/>
                <w:sz w:val="18"/>
              </w:rPr>
              <w:t>Delivery</w:t>
            </w:r>
          </w:p>
        </w:tc>
        <w:tc>
          <w:tcPr>
            <w:tcW w:type="dxa" w:w="6912"/>
            <w:tcMar>
              <w:top w:w="100" w:type="dxa"/>
              <w:start w:w="120" w:type="dxa"/>
              <w:bottom w:w="100" w:type="dxa"/>
              <w:end w:w="120" w:type="dxa"/>
            </w:tcMar>
            <w:vAlign w:val="center"/>
          </w:tcPr>
          <w:p>
            <w:r>
              <w:rPr>
                <w:color w:val="1F2937"/>
                <w:sz w:val="18"/>
              </w:rPr>
              <w:t>Text, interactive selections and documents are sent through the bridge; callback failures produce a bounded failure message.</w:t>
            </w:r>
          </w:p>
        </w:tc>
      </w:tr>
      <w:tr>
        <w:tc>
          <w:tcPr>
            <w:tcW w:type="dxa" w:w="2232"/>
            <w:tcMar>
              <w:top w:w="100" w:type="dxa"/>
              <w:start w:w="120" w:type="dxa"/>
              <w:bottom w:w="100" w:type="dxa"/>
              <w:end w:w="120" w:type="dxa"/>
            </w:tcMar>
            <w:vAlign w:val="center"/>
            <w:shd w:fill="F7F9FC"/>
          </w:tcPr>
          <w:p>
            <w:r>
              <w:rPr>
                <w:color w:val="1F2937"/>
                <w:sz w:val="18"/>
              </w:rPr>
              <w:t>Session lifecycle</w:t>
            </w:r>
          </w:p>
        </w:tc>
        <w:tc>
          <w:tcPr>
            <w:tcW w:type="dxa" w:w="6912"/>
            <w:tcMar>
              <w:top w:w="100" w:type="dxa"/>
              <w:start w:w="120" w:type="dxa"/>
              <w:bottom w:w="100" w:type="dxa"/>
              <w:end w:w="120" w:type="dxa"/>
            </w:tcMar>
            <w:vAlign w:val="center"/>
            <w:shd w:fill="F7F9FC"/>
          </w:tcPr>
          <w:p>
            <w:r>
              <w:rPr>
                <w:color w:val="1F2937"/>
                <w:sz w:val="18"/>
              </w:rPr>
              <w:t>Pairing allocates a per-project port and canonical session path; logged-out sessions stop.</w:t>
            </w:r>
          </w:p>
        </w:tc>
      </w:tr>
    </w:tbl>
    <w:p>
      <w:pPr>
        <w:spacing w:after="40"/>
      </w:pPr>
    </w:p>
    <w:p>
      <w:pPr>
        <w:pStyle w:val="Heading1"/>
      </w:pPr>
      <w:r>
        <w:t>13 File ingestion and retrieval workflow</w:t>
      </w:r>
    </w:p>
    <w:p>
      <w:pPr>
        <w:spacing w:after="140" w:line="259" w:lineRule="auto"/>
      </w:pPr>
      <w:r>
        <w:t>Uploaded files are stored below a managed data root after basename sanitization and path containment checks. Network-drive connectors resolve approved roots and subpaths with realpath containment and skip symlinks. Documents are indexed into chunks and retrieved with project/deployment visibility rules. A production receiver should add explicit multipart per-file and aggregate quotas because the inspected multipart route does not show a full file-size quota.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shd w:fill="17365D"/>
            <w:tcMar>
              <w:top w:w="100" w:type="dxa"/>
              <w:start w:w="120" w:type="dxa"/>
              <w:bottom w:w="100" w:type="dxa"/>
              <w:end w:w="120" w:type="dxa"/>
            </w:tcMar>
            <w:vAlign w:val="center"/>
          </w:tcPr>
          <w:p>
            <w:pPr>
              <w:jc w:val="center"/>
            </w:pPr>
            <w:r>
              <w:rPr>
                <w:b/>
                <w:color w:val="FFFFFF"/>
                <w:sz w:val="18"/>
              </w:rPr>
              <w:t>Step</w:t>
            </w:r>
          </w:p>
        </w:tc>
        <w:tc>
          <w:tcPr>
            <w:tcW w:type="dxa" w:w="7416"/>
            <w:shd w:fill="17365D"/>
            <w:tcMar>
              <w:top w:w="100" w:type="dxa"/>
              <w:start w:w="120" w:type="dxa"/>
              <w:bottom w:w="100" w:type="dxa"/>
              <w:end w:w="120" w:type="dxa"/>
            </w:tcMar>
            <w:vAlign w:val="center"/>
          </w:tcPr>
          <w:p>
            <w:pPr>
              <w:jc w:val="center"/>
            </w:pPr>
            <w:r>
              <w:rPr>
                <w:b/>
                <w:color w:val="FFFFFF"/>
                <w:sz w:val="18"/>
              </w:rPr>
              <w:t>Design</w:t>
            </w:r>
          </w:p>
        </w:tc>
      </w:tr>
      <w:tr>
        <w:tc>
          <w:tcPr>
            <w:tcW w:type="dxa" w:w="1728"/>
            <w:tcMar>
              <w:top w:w="100" w:type="dxa"/>
              <w:start w:w="120" w:type="dxa"/>
              <w:bottom w:w="100" w:type="dxa"/>
              <w:end w:w="120" w:type="dxa"/>
            </w:tcMar>
            <w:vAlign w:val="center"/>
          </w:tcPr>
          <w:p>
            <w:r>
              <w:rPr>
                <w:color w:val="1F2937"/>
                <w:sz w:val="18"/>
              </w:rPr>
              <w:t>Ingest</w:t>
            </w:r>
          </w:p>
        </w:tc>
        <w:tc>
          <w:tcPr>
            <w:tcW w:type="dxa" w:w="7416"/>
            <w:tcMar>
              <w:top w:w="100" w:type="dxa"/>
              <w:start w:w="120" w:type="dxa"/>
              <w:bottom w:w="100" w:type="dxa"/>
              <w:end w:w="120" w:type="dxa"/>
            </w:tcMar>
            <w:vAlign w:val="center"/>
          </w:tcPr>
          <w:p>
            <w:r>
              <w:rPr>
                <w:color w:val="1F2937"/>
                <w:sz w:val="18"/>
              </w:rPr>
              <w:t>Accept body or multipart metadata, normalize filename, write managed file with restrictive permissions.</w:t>
            </w:r>
          </w:p>
        </w:tc>
      </w:tr>
      <w:tr>
        <w:tc>
          <w:tcPr>
            <w:tcW w:type="dxa" w:w="1728"/>
            <w:tcMar>
              <w:top w:w="100" w:type="dxa"/>
              <w:start w:w="120" w:type="dxa"/>
              <w:bottom w:w="100" w:type="dxa"/>
              <w:end w:w="120" w:type="dxa"/>
            </w:tcMar>
            <w:vAlign w:val="center"/>
            <w:shd w:fill="F7F9FC"/>
          </w:tcPr>
          <w:p>
            <w:r>
              <w:rPr>
                <w:color w:val="1F2937"/>
                <w:sz w:val="18"/>
              </w:rPr>
              <w:t>Extract</w:t>
            </w:r>
          </w:p>
        </w:tc>
        <w:tc>
          <w:tcPr>
            <w:tcW w:type="dxa" w:w="7416"/>
            <w:tcMar>
              <w:top w:w="100" w:type="dxa"/>
              <w:start w:w="120" w:type="dxa"/>
              <w:bottom w:w="100" w:type="dxa"/>
              <w:end w:w="120" w:type="dxa"/>
            </w:tcMar>
            <w:vAlign w:val="center"/>
            <w:shd w:fill="F7F9FC"/>
          </w:tcPr>
          <w:p>
            <w:r>
              <w:rPr>
                <w:color w:val="1F2937"/>
                <w:sz w:val="18"/>
              </w:rPr>
              <w:t>Parse supported document text and images; preserve source metadata and project association.</w:t>
            </w:r>
          </w:p>
        </w:tc>
      </w:tr>
      <w:tr>
        <w:tc>
          <w:tcPr>
            <w:tcW w:type="dxa" w:w="1728"/>
            <w:tcMar>
              <w:top w:w="100" w:type="dxa"/>
              <w:start w:w="120" w:type="dxa"/>
              <w:bottom w:w="100" w:type="dxa"/>
              <w:end w:w="120" w:type="dxa"/>
            </w:tcMar>
            <w:vAlign w:val="center"/>
          </w:tcPr>
          <w:p>
            <w:r>
              <w:rPr>
                <w:color w:val="1F2937"/>
                <w:sz w:val="18"/>
              </w:rPr>
              <w:t>Chunk</w:t>
            </w:r>
          </w:p>
        </w:tc>
        <w:tc>
          <w:tcPr>
            <w:tcW w:type="dxa" w:w="7416"/>
            <w:tcMar>
              <w:top w:w="100" w:type="dxa"/>
              <w:start w:w="120" w:type="dxa"/>
              <w:bottom w:w="100" w:type="dxa"/>
              <w:end w:w="120" w:type="dxa"/>
            </w:tcMar>
            <w:vAlign w:val="center"/>
          </w:tcPr>
          <w:p>
            <w:r>
              <w:rPr>
                <w:color w:val="1F2937"/>
                <w:sz w:val="18"/>
              </w:rPr>
              <w:t>Create retrieval chunks and persist them in document_chunks or the JSON index.</w:t>
            </w:r>
          </w:p>
        </w:tc>
      </w:tr>
      <w:tr>
        <w:tc>
          <w:tcPr>
            <w:tcW w:type="dxa" w:w="1728"/>
            <w:tcMar>
              <w:top w:w="100" w:type="dxa"/>
              <w:start w:w="120" w:type="dxa"/>
              <w:bottom w:w="100" w:type="dxa"/>
              <w:end w:w="120" w:type="dxa"/>
            </w:tcMar>
            <w:vAlign w:val="center"/>
            <w:shd w:fill="F7F9FC"/>
          </w:tcPr>
          <w:p>
            <w:r>
              <w:rPr>
                <w:color w:val="1F2937"/>
                <w:sz w:val="18"/>
              </w:rPr>
              <w:t>Filter</w:t>
            </w:r>
          </w:p>
        </w:tc>
        <w:tc>
          <w:tcPr>
            <w:tcW w:type="dxa" w:w="7416"/>
            <w:tcMar>
              <w:top w:w="100" w:type="dxa"/>
              <w:start w:w="120" w:type="dxa"/>
              <w:bottom w:w="100" w:type="dxa"/>
              <w:end w:w="120" w:type="dxa"/>
            </w:tcMar>
            <w:vAlign w:val="center"/>
            <w:shd w:fill="F7F9FC"/>
          </w:tcPr>
          <w:p>
            <w:r>
              <w:rPr>
                <w:color w:val="1F2937"/>
                <w:sz w:val="18"/>
              </w:rPr>
              <w:t>Apply project boundary, deployment/private visibility and optional folder allowlist.</w:t>
            </w:r>
          </w:p>
        </w:tc>
      </w:tr>
      <w:tr>
        <w:tc>
          <w:tcPr>
            <w:tcW w:type="dxa" w:w="1728"/>
            <w:tcMar>
              <w:top w:w="100" w:type="dxa"/>
              <w:start w:w="120" w:type="dxa"/>
              <w:bottom w:w="100" w:type="dxa"/>
              <w:end w:w="120" w:type="dxa"/>
            </w:tcMar>
            <w:vAlign w:val="center"/>
          </w:tcPr>
          <w:p>
            <w:r>
              <w:rPr>
                <w:color w:val="1F2937"/>
                <w:sz w:val="18"/>
              </w:rPr>
              <w:t>Retrieve</w:t>
            </w:r>
          </w:p>
        </w:tc>
        <w:tc>
          <w:tcPr>
            <w:tcW w:type="dxa" w:w="7416"/>
            <w:tcMar>
              <w:top w:w="100" w:type="dxa"/>
              <w:start w:w="120" w:type="dxa"/>
              <w:bottom w:w="100" w:type="dxa"/>
              <w:end w:w="120" w:type="dxa"/>
            </w:tcMar>
            <w:vAlign w:val="center"/>
          </w:tcPr>
          <w:p>
            <w:r>
              <w:rPr>
                <w:color w:val="1F2937"/>
                <w:sz w:val="18"/>
              </w:rPr>
              <w:t>Combine lexical/vector retrieval with attachment and conversation context.</w:t>
            </w:r>
          </w:p>
        </w:tc>
      </w:tr>
      <w:tr>
        <w:tc>
          <w:tcPr>
            <w:tcW w:type="dxa" w:w="1728"/>
            <w:tcMar>
              <w:top w:w="100" w:type="dxa"/>
              <w:start w:w="120" w:type="dxa"/>
              <w:bottom w:w="100" w:type="dxa"/>
              <w:end w:w="120" w:type="dxa"/>
            </w:tcMar>
            <w:vAlign w:val="center"/>
            <w:shd w:fill="F7F9FC"/>
          </w:tcPr>
          <w:p>
            <w:r>
              <w:rPr>
                <w:color w:val="1F2937"/>
                <w:sz w:val="18"/>
              </w:rPr>
              <w:t>Use</w:t>
            </w:r>
          </w:p>
        </w:tc>
        <w:tc>
          <w:tcPr>
            <w:tcW w:type="dxa" w:w="7416"/>
            <w:tcMar>
              <w:top w:w="100" w:type="dxa"/>
              <w:start w:w="120" w:type="dxa"/>
              <w:bottom w:w="100" w:type="dxa"/>
              <w:end w:w="120" w:type="dxa"/>
            </w:tcMar>
            <w:vAlign w:val="center"/>
            <w:shd w:fill="F7F9FC"/>
          </w:tcPr>
          <w:p>
            <w:r>
              <w:rPr>
                <w:color w:val="1F2937"/>
                <w:sz w:val="18"/>
              </w:rPr>
              <w:t>Include only retrieved material allowed by the active manifest and prompt policy.</w:t>
            </w:r>
          </w:p>
        </w:tc>
      </w:tr>
    </w:tbl>
    <w:p>
      <w:pPr>
        <w:spacing w:after="40"/>
      </w:pPr>
    </w:p>
    <w:p>
      <w:pPr>
        <w:pStyle w:val="Heading1"/>
      </w:pPr>
      <w:r>
        <w:t>14 Document template and artifact QA workflow</w:t>
      </w:r>
    </w:p>
    <w:p>
      <w:pPr>
        <w:spacing w:after="140" w:line="259" w:lineRule="auto"/>
      </w:pPr>
      <w:r>
        <w:t>Template selection prefers an exact or distinctive managed template. Ambiguous compatible templates require explicit confirmation; an invalid template ID is rejected. The provider must return the exact template labels and structured JSON and may not invent signatures, approvals or evidence. The renderer writes only to configured value targets.</w:t>
      </w:r>
    </w:p>
    <w:p>
      <w:pPr>
        <w:spacing w:after="140" w:line="259" w:lineRule="auto"/>
      </w:pPr>
      <w:r>
        <w:t>Report QA validates deterministic metadata, fields, tables, required rows and columns, narrative length, image targets and protected layout labels. Artifacts are rendered to DOCX, optionally converted to PDF through LibreOffice, and stored as private generated files linked to the project, deployment, template revision, QA findings and evidence.</w:t>
      </w:r>
    </w:p>
    <w:p>
      <w:pPr>
        <w:spacing w:before="120" w:after="60"/>
        <w:jc w:val="center"/>
      </w:pPr>
      <w:r>
        <w:drawing>
          <wp:inline xmlns:a="http://schemas.openxmlformats.org/drawingml/2006/main" xmlns:pic="http://schemas.openxmlformats.org/drawingml/2006/picture">
            <wp:extent cx="5897880" cy="3538728"/>
            <wp:docPr id="9" name="Picture 9" descr="Image: image9.png"/>
            <wp:cNvGraphicFramePr>
              <a:graphicFrameLocks noChangeAspect="1"/>
            </wp:cNvGraphicFramePr>
            <a:graphic>
              <a:graphicData uri="http://schemas.openxmlformats.org/drawingml/2006/picture">
                <pic:pic>
                  <pic:nvPicPr>
                    <pic:cNvPr id="0" name="09-state-model.png"/>
                    <pic:cNvPicPr/>
                  </pic:nvPicPr>
                  <pic:blipFill>
                    <a:blip r:embed="rId17"/>
                    <a:stretch>
                      <a:fillRect/>
                    </a:stretch>
                  </pic:blipFill>
                  <pic:spPr>
                    <a:xfrm>
                      <a:off x="0" y="0"/>
                      <a:ext cx="5897880" cy="3538728"/>
                    </a:xfrm>
                    <a:prstGeom prst="rect"/>
                  </pic:spPr>
                </pic:pic>
              </a:graphicData>
            </a:graphic>
          </wp:inline>
        </w:drawing>
      </w:r>
    </w:p>
    <w:p>
      <w:pPr>
        <w:spacing w:after="200"/>
        <w:jc w:val="center"/>
      </w:pPr>
      <w:r>
        <w:rPr>
          <w:i/>
          <w:color w:val="595959"/>
          <w:sz w:val="18"/>
        </w:rPr>
        <w:t>Figure 9. Message and artifact state model</w:t>
      </w:r>
    </w:p>
    <w:p>
      <w:pPr>
        <w:pStyle w:val="Heading1"/>
      </w:pPr>
      <w:r>
        <w:t>15 Message and artifact state model</w:t>
      </w:r>
    </w:p>
    <w:p>
      <w:pPr>
        <w:spacing w:after="140" w:line="259" w:lineRule="auto"/>
      </w:pPr>
      <w:r>
        <w:t>The lifecycle is explicit and auditable. The normal path is received, authorized, deployment_resolved, context_prepared, executing, then either awaiting_approval or generating_artifact, followed by validating_artifact, delivery_submitted and delivery_acknowledged. Authorization, context, execution, artifact, validation and delivery failures are recorded as typed failures without silently skipping the failed stage.</w:t>
      </w:r>
    </w:p>
    <w:p>
      <w:pPr>
        <w:pStyle w:val="Heading1"/>
      </w:pPr>
      <w:r>
        <w:t>16 API and integration design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7365D"/>
            <w:tcMar>
              <w:top w:w="100" w:type="dxa"/>
              <w:start w:w="120" w:type="dxa"/>
              <w:bottom w:w="100" w:type="dxa"/>
              <w:end w:w="120" w:type="dxa"/>
            </w:tcMar>
            <w:vAlign w:val="center"/>
          </w:tcPr>
          <w:p>
            <w:pPr>
              <w:jc w:val="center"/>
            </w:pPr>
            <w:r>
              <w:rPr>
                <w:b/>
                <w:color w:val="FFFFFF"/>
                <w:sz w:val="18"/>
              </w:rPr>
              <w:t>Interface</w:t>
            </w:r>
          </w:p>
        </w:tc>
        <w:tc>
          <w:tcPr>
            <w:tcW w:type="dxa" w:w="4320"/>
            <w:shd w:fill="17365D"/>
            <w:tcMar>
              <w:top w:w="100" w:type="dxa"/>
              <w:start w:w="120" w:type="dxa"/>
              <w:bottom w:w="100" w:type="dxa"/>
              <w:end w:w="120" w:type="dxa"/>
            </w:tcMar>
            <w:vAlign w:val="center"/>
          </w:tcPr>
          <w:p>
            <w:pPr>
              <w:jc w:val="center"/>
            </w:pPr>
            <w:r>
              <w:rPr>
                <w:b/>
                <w:color w:val="FFFFFF"/>
                <w:sz w:val="18"/>
              </w:rPr>
              <w:t>Purpose</w:t>
            </w:r>
          </w:p>
        </w:tc>
        <w:tc>
          <w:tcPr>
            <w:tcW w:type="dxa" w:w="2376"/>
            <w:shd w:fill="17365D"/>
            <w:tcMar>
              <w:top w:w="100" w:type="dxa"/>
              <w:start w:w="120" w:type="dxa"/>
              <w:bottom w:w="100" w:type="dxa"/>
              <w:end w:w="120" w:type="dxa"/>
            </w:tcMar>
            <w:vAlign w:val="center"/>
          </w:tcPr>
          <w:p>
            <w:pPr>
              <w:jc w:val="center"/>
            </w:pPr>
            <w:r>
              <w:rPr>
                <w:b/>
                <w:color w:val="FFFFFF"/>
                <w:sz w:val="18"/>
              </w:rPr>
              <w:t>Boundary and control</w:t>
            </w:r>
          </w:p>
        </w:tc>
      </w:tr>
      <w:tr>
        <w:tc>
          <w:tcPr>
            <w:tcW w:type="dxa" w:w="2448"/>
            <w:tcMar>
              <w:top w:w="100" w:type="dxa"/>
              <w:start w:w="120" w:type="dxa"/>
              <w:bottom w:w="100" w:type="dxa"/>
              <w:end w:w="120" w:type="dxa"/>
            </w:tcMar>
            <w:vAlign w:val="center"/>
          </w:tcPr>
          <w:p>
            <w:r>
              <w:rPr>
                <w:color w:val="1F2937"/>
                <w:sz w:val="18"/>
              </w:rPr>
              <w:t>Browser to control plane</w:t>
            </w:r>
          </w:p>
        </w:tc>
        <w:tc>
          <w:tcPr>
            <w:tcW w:type="dxa" w:w="4320"/>
            <w:tcMar>
              <w:top w:w="100" w:type="dxa"/>
              <w:start w:w="120" w:type="dxa"/>
              <w:bottom w:w="100" w:type="dxa"/>
              <w:end w:w="120" w:type="dxa"/>
            </w:tcMar>
            <w:vAlign w:val="center"/>
          </w:tcPr>
          <w:p>
            <w:r>
              <w:rPr>
                <w:color w:val="1F2937"/>
                <w:sz w:val="18"/>
              </w:rPr>
              <w:t>SPA JSON/HTTP routes for auth, chat, projects, files, deployments, settings and activity</w:t>
            </w:r>
          </w:p>
        </w:tc>
        <w:tc>
          <w:tcPr>
            <w:tcW w:type="dxa" w:w="2376"/>
            <w:tcMar>
              <w:top w:w="100" w:type="dxa"/>
              <w:start w:w="120" w:type="dxa"/>
              <w:bottom w:w="100" w:type="dxa"/>
              <w:end w:w="120" w:type="dxa"/>
            </w:tcMar>
            <w:vAlign w:val="center"/>
          </w:tcPr>
          <w:p>
            <w:r>
              <w:rPr>
                <w:color w:val="1F2937"/>
                <w:sz w:val="18"/>
              </w:rPr>
              <w:t>Session cookie, RBAC and selected scope validation</w:t>
            </w:r>
          </w:p>
        </w:tc>
      </w:tr>
      <w:tr>
        <w:tc>
          <w:tcPr>
            <w:tcW w:type="dxa" w:w="2448"/>
            <w:tcMar>
              <w:top w:w="100" w:type="dxa"/>
              <w:start w:w="120" w:type="dxa"/>
              <w:bottom w:w="100" w:type="dxa"/>
              <w:end w:w="120" w:type="dxa"/>
            </w:tcMar>
            <w:vAlign w:val="center"/>
            <w:shd w:fill="F7F9FC"/>
          </w:tcPr>
          <w:p>
            <w:r>
              <w:rPr>
                <w:color w:val="1F2937"/>
                <w:sz w:val="18"/>
              </w:rPr>
              <w:t>Control plane to PostgreSQL</w:t>
            </w:r>
          </w:p>
        </w:tc>
        <w:tc>
          <w:tcPr>
            <w:tcW w:type="dxa" w:w="4320"/>
            <w:tcMar>
              <w:top w:w="100" w:type="dxa"/>
              <w:start w:w="120" w:type="dxa"/>
              <w:bottom w:w="100" w:type="dxa"/>
              <w:end w:w="120" w:type="dxa"/>
            </w:tcMar>
            <w:vAlign w:val="center"/>
            <w:shd w:fill="F7F9FC"/>
          </w:tcPr>
          <w:p>
            <w:r>
              <w:rPr>
                <w:color w:val="1F2937"/>
                <w:sz w:val="18"/>
              </w:rPr>
              <w:t>Store adapter and retrieval persistence</w:t>
            </w:r>
          </w:p>
        </w:tc>
        <w:tc>
          <w:tcPr>
            <w:tcW w:type="dxa" w:w="2376"/>
            <w:tcMar>
              <w:top w:w="100" w:type="dxa"/>
              <w:start w:w="120" w:type="dxa"/>
              <w:bottom w:w="100" w:type="dxa"/>
              <w:end w:w="120" w:type="dxa"/>
            </w:tcMar>
            <w:vAlign w:val="center"/>
            <w:shd w:fill="F7F9FC"/>
          </w:tcPr>
          <w:p>
            <w:r>
              <w:rPr>
                <w:color w:val="1F2937"/>
                <w:sz w:val="18"/>
              </w:rPr>
              <w:t>Schema varadise, pool timeout, advisory lock and revision conflict detection</w:t>
            </w:r>
          </w:p>
        </w:tc>
      </w:tr>
      <w:tr>
        <w:tc>
          <w:tcPr>
            <w:tcW w:type="dxa" w:w="2448"/>
            <w:tcMar>
              <w:top w:w="100" w:type="dxa"/>
              <w:start w:w="120" w:type="dxa"/>
              <w:bottom w:w="100" w:type="dxa"/>
              <w:end w:w="120" w:type="dxa"/>
            </w:tcMar>
            <w:vAlign w:val="center"/>
          </w:tcPr>
          <w:p>
            <w:r>
              <w:rPr>
                <w:color w:val="1F2937"/>
                <w:sz w:val="18"/>
              </w:rPr>
              <w:t>Control plane to direct provider</w:t>
            </w:r>
          </w:p>
        </w:tc>
        <w:tc>
          <w:tcPr>
            <w:tcW w:type="dxa" w:w="4320"/>
            <w:tcMar>
              <w:top w:w="100" w:type="dxa"/>
              <w:start w:w="120" w:type="dxa"/>
              <w:bottom w:w="100" w:type="dxa"/>
              <w:end w:w="120" w:type="dxa"/>
            </w:tcMar>
            <w:vAlign w:val="center"/>
          </w:tcPr>
          <w:p>
            <w:r>
              <w:rPr>
                <w:color w:val="1F2937"/>
                <w:sz w:val="18"/>
              </w:rPr>
              <w:t>OpenAI-compatible /chat/completions SSE</w:t>
            </w:r>
          </w:p>
        </w:tc>
        <w:tc>
          <w:tcPr>
            <w:tcW w:type="dxa" w:w="2376"/>
            <w:tcMar>
              <w:top w:w="100" w:type="dxa"/>
              <w:start w:w="120" w:type="dxa"/>
              <w:bottom w:w="100" w:type="dxa"/>
              <w:end w:w="120" w:type="dxa"/>
            </w:tcMar>
            <w:vAlign w:val="center"/>
          </w:tcPr>
          <w:p>
            <w:r>
              <w:rPr>
                <w:color w:val="1F2937"/>
                <w:sz w:val="18"/>
              </w:rPr>
              <w:t>HTTP(S) URL validation, bearer key decryption and timeout; egress policy remains operational</w:t>
            </w:r>
          </w:p>
        </w:tc>
      </w:tr>
      <w:tr>
        <w:tc>
          <w:tcPr>
            <w:tcW w:type="dxa" w:w="2448"/>
            <w:tcMar>
              <w:top w:w="100" w:type="dxa"/>
              <w:start w:w="120" w:type="dxa"/>
              <w:bottom w:w="100" w:type="dxa"/>
              <w:end w:w="120" w:type="dxa"/>
            </w:tcMar>
            <w:vAlign w:val="center"/>
            <w:shd w:fill="F7F9FC"/>
          </w:tcPr>
          <w:p>
            <w:r>
              <w:rPr>
                <w:color w:val="1F2937"/>
                <w:sz w:val="18"/>
              </w:rPr>
              <w:t>Control plane to Hermes</w:t>
            </w:r>
          </w:p>
        </w:tc>
        <w:tc>
          <w:tcPr>
            <w:tcW w:type="dxa" w:w="4320"/>
            <w:tcMar>
              <w:top w:w="100" w:type="dxa"/>
              <w:start w:w="120" w:type="dxa"/>
              <w:bottom w:w="100" w:type="dxa"/>
              <w:end w:w="120" w:type="dxa"/>
            </w:tcMar>
            <w:vAlign w:val="center"/>
            <w:shd w:fill="F7F9FC"/>
          </w:tcPr>
          <w:p>
            <w:r>
              <w:rPr>
                <w:color w:val="1F2937"/>
                <w:sz w:val="18"/>
              </w:rPr>
              <w:t>Bounded JSON envelope and validated response</w:t>
            </w:r>
          </w:p>
        </w:tc>
        <w:tc>
          <w:tcPr>
            <w:tcW w:type="dxa" w:w="2376"/>
            <w:tcMar>
              <w:top w:w="100" w:type="dxa"/>
              <w:start w:w="120" w:type="dxa"/>
              <w:bottom w:w="100" w:type="dxa"/>
              <w:end w:w="120" w:type="dxa"/>
            </w:tcMar>
            <w:vAlign w:val="center"/>
            <w:shd w:fill="F7F9FC"/>
          </w:tcPr>
          <w:p>
            <w:r>
              <w:rPr>
                <w:color w:val="1F2937"/>
                <w:sz w:val="18"/>
              </w:rPr>
              <w:t>Tool allowlist, approval gate, max request bytes, timeout and retry policy</w:t>
            </w:r>
          </w:p>
        </w:tc>
      </w:tr>
      <w:tr>
        <w:tc>
          <w:tcPr>
            <w:tcW w:type="dxa" w:w="2448"/>
            <w:tcMar>
              <w:top w:w="100" w:type="dxa"/>
              <w:start w:w="120" w:type="dxa"/>
              <w:bottom w:w="100" w:type="dxa"/>
              <w:end w:w="120" w:type="dxa"/>
            </w:tcMar>
            <w:vAlign w:val="center"/>
          </w:tcPr>
          <w:p>
            <w:r>
              <w:rPr>
                <w:color w:val="1F2937"/>
                <w:sz w:val="18"/>
              </w:rPr>
              <w:t>Bridge to control plane</w:t>
            </w:r>
          </w:p>
        </w:tc>
        <w:tc>
          <w:tcPr>
            <w:tcW w:type="dxa" w:w="4320"/>
            <w:tcMar>
              <w:top w:w="100" w:type="dxa"/>
              <w:start w:w="120" w:type="dxa"/>
              <w:bottom w:w="100" w:type="dxa"/>
              <w:end w:w="120" w:type="dxa"/>
            </w:tcMar>
            <w:vAlign w:val="center"/>
          </w:tcPr>
          <w:p>
            <w:r>
              <w:rPr>
                <w:color w:val="1F2937"/>
                <w:sz w:val="18"/>
              </w:rPr>
              <w:t>Local callback endpoints for inbound, pairing and delivery</w:t>
            </w:r>
          </w:p>
        </w:tc>
        <w:tc>
          <w:tcPr>
            <w:tcW w:type="dxa" w:w="2376"/>
            <w:tcMar>
              <w:top w:w="100" w:type="dxa"/>
              <w:start w:w="120" w:type="dxa"/>
              <w:bottom w:w="100" w:type="dxa"/>
              <w:end w:w="120" w:type="dxa"/>
            </w:tcMar>
            <w:vAlign w:val="center"/>
          </w:tcPr>
          <w:p>
            <w:r>
              <w:rPr>
                <w:color w:val="1F2937"/>
                <w:sz w:val="18"/>
              </w:rPr>
              <w:t>Loopback host check plus X-Varadise-Bridge-Token</w:t>
            </w:r>
          </w:p>
        </w:tc>
      </w:tr>
      <w:tr>
        <w:tc>
          <w:tcPr>
            <w:tcW w:type="dxa" w:w="2448"/>
            <w:tcMar>
              <w:top w:w="100" w:type="dxa"/>
              <w:start w:w="120" w:type="dxa"/>
              <w:bottom w:w="100" w:type="dxa"/>
              <w:end w:w="120" w:type="dxa"/>
            </w:tcMar>
            <w:vAlign w:val="center"/>
            <w:shd w:fill="F7F9FC"/>
          </w:tcPr>
          <w:p>
            <w:r>
              <w:rPr>
                <w:color w:val="1F2937"/>
                <w:sz w:val="18"/>
              </w:rPr>
              <w:t>Control plane to network drive</w:t>
            </w:r>
          </w:p>
        </w:tc>
        <w:tc>
          <w:tcPr>
            <w:tcW w:type="dxa" w:w="4320"/>
            <w:tcMar>
              <w:top w:w="100" w:type="dxa"/>
              <w:start w:w="120" w:type="dxa"/>
              <w:bottom w:w="100" w:type="dxa"/>
              <w:end w:w="120" w:type="dxa"/>
            </w:tcMar>
            <w:vAlign w:val="center"/>
            <w:shd w:fill="F7F9FC"/>
          </w:tcPr>
          <w:p>
            <w:r>
              <w:rPr>
                <w:color w:val="1F2937"/>
                <w:sz w:val="18"/>
              </w:rPr>
              <w:t>Approved root/subpath connector</w:t>
            </w:r>
          </w:p>
        </w:tc>
        <w:tc>
          <w:tcPr>
            <w:tcW w:type="dxa" w:w="2376"/>
            <w:tcMar>
              <w:top w:w="100" w:type="dxa"/>
              <w:start w:w="120" w:type="dxa"/>
              <w:bottom w:w="100" w:type="dxa"/>
              <w:end w:w="120" w:type="dxa"/>
            </w:tcMar>
            <w:vAlign w:val="center"/>
            <w:shd w:fill="F7F9FC"/>
          </w:tcPr>
          <w:p>
            <w:r>
              <w:rPr>
                <w:color w:val="1F2937"/>
                <w:sz w:val="18"/>
              </w:rPr>
              <w:t>Realpath containment and symlink skip</w:t>
            </w:r>
          </w:p>
        </w:tc>
      </w:tr>
      <w:tr>
        <w:tc>
          <w:tcPr>
            <w:tcW w:type="dxa" w:w="2448"/>
            <w:tcMar>
              <w:top w:w="100" w:type="dxa"/>
              <w:start w:w="120" w:type="dxa"/>
              <w:bottom w:w="100" w:type="dxa"/>
              <w:end w:w="120" w:type="dxa"/>
            </w:tcMar>
            <w:vAlign w:val="center"/>
          </w:tcPr>
          <w:p>
            <w:r>
              <w:rPr>
                <w:color w:val="1F2937"/>
                <w:sz w:val="18"/>
              </w:rPr>
              <w:t>Control plane to artifact renderer</w:t>
            </w:r>
          </w:p>
        </w:tc>
        <w:tc>
          <w:tcPr>
            <w:tcW w:type="dxa" w:w="4320"/>
            <w:tcMar>
              <w:top w:w="100" w:type="dxa"/>
              <w:start w:w="120" w:type="dxa"/>
              <w:bottom w:w="100" w:type="dxa"/>
              <w:end w:w="120" w:type="dxa"/>
            </w:tcMar>
            <w:vAlign w:val="center"/>
          </w:tcPr>
          <w:p>
            <w:r>
              <w:rPr>
                <w:color w:val="1F2937"/>
                <w:sz w:val="18"/>
              </w:rPr>
              <w:t>Template renderer and LibreOffice conversion</w:t>
            </w:r>
          </w:p>
        </w:tc>
        <w:tc>
          <w:tcPr>
            <w:tcW w:type="dxa" w:w="2376"/>
            <w:tcMar>
              <w:top w:w="100" w:type="dxa"/>
              <w:start w:w="120" w:type="dxa"/>
              <w:bottom w:w="100" w:type="dxa"/>
              <w:end w:w="120" w:type="dxa"/>
            </w:tcMar>
            <w:vAlign w:val="center"/>
          </w:tcPr>
          <w:p>
            <w:r>
              <w:rPr>
                <w:color w:val="1F2937"/>
                <w:sz w:val="18"/>
              </w:rPr>
              <w:t>Managed value targets, QA and private file permissions</w:t>
            </w:r>
          </w:p>
        </w:tc>
      </w:tr>
    </w:tbl>
    <w:p>
      <w:pPr>
        <w:spacing w:after="40"/>
      </w:pPr>
    </w:p>
    <w:p>
      <w:pPr>
        <w:pStyle w:val="Heading1"/>
      </w:pPr>
      <w:r>
        <w:t>17 Security and trust boundaries</w:t>
      </w:r>
    </w:p>
    <w:p>
      <w:pPr>
        <w:spacing w:after="140" w:line="259" w:lineRule="auto"/>
      </w:pPr>
      <w:r>
        <w:t>The strongest boundary is the control plane: model output is treated as untrusted content and cannot expand permissions, deployment scope or tool allowlists. Connector keys are encrypted with AES-256-GCM using an app-secret-derived key. Passwords use scrypt with random salts. Sessions use random bearer tokens in HttpOnly cookies and active-user checks.</w:t>
      </w:r>
    </w:p>
    <w:p>
      <w:pPr>
        <w:spacing w:before="120" w:after="60"/>
        <w:jc w:val="center"/>
      </w:pPr>
      <w:r>
        <w:drawing>
          <wp:inline xmlns:a="http://schemas.openxmlformats.org/drawingml/2006/main" xmlns:pic="http://schemas.openxmlformats.org/drawingml/2006/picture">
            <wp:extent cx="5897880" cy="3538728"/>
            <wp:docPr id="10" name="Picture 10" descr="Image: image10.png"/>
            <wp:cNvGraphicFramePr>
              <a:graphicFrameLocks noChangeAspect="1"/>
            </wp:cNvGraphicFramePr>
            <a:graphic>
              <a:graphicData uri="http://schemas.openxmlformats.org/drawingml/2006/picture">
                <pic:pic>
                  <pic:nvPicPr>
                    <pic:cNvPr id="0" name="10-security-boundaries.png"/>
                    <pic:cNvPicPr/>
                  </pic:nvPicPr>
                  <pic:blipFill>
                    <a:blip r:embed="rId18"/>
                    <a:stretch>
                      <a:fillRect/>
                    </a:stretch>
                  </pic:blipFill>
                  <pic:spPr>
                    <a:xfrm>
                      <a:off x="0" y="0"/>
                      <a:ext cx="5897880" cy="3538728"/>
                    </a:xfrm>
                    <a:prstGeom prst="rect"/>
                  </pic:spPr>
                </pic:pic>
              </a:graphicData>
            </a:graphic>
          </wp:inline>
        </w:drawing>
      </w:r>
    </w:p>
    <w:p>
      <w:pPr>
        <w:spacing w:after="200"/>
        <w:jc w:val="center"/>
      </w:pPr>
      <w:r>
        <w:rPr>
          <w:i/>
          <w:color w:val="595959"/>
          <w:sz w:val="18"/>
        </w:rPr>
        <w:t>Figure 10. Security trust zones and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65D"/>
            <w:tcMar>
              <w:top w:w="100" w:type="dxa"/>
              <w:start w:w="120" w:type="dxa"/>
              <w:bottom w:w="100" w:type="dxa"/>
              <w:end w:w="120" w:type="dxa"/>
            </w:tcMar>
            <w:vAlign w:val="center"/>
          </w:tcPr>
          <w:p>
            <w:pPr>
              <w:jc w:val="center"/>
            </w:pPr>
            <w:r>
              <w:rPr>
                <w:b/>
                <w:color w:val="FFFFFF"/>
                <w:sz w:val="18"/>
              </w:rPr>
              <w:t>Control area</w:t>
            </w:r>
          </w:p>
        </w:tc>
        <w:tc>
          <w:tcPr>
            <w:tcW w:type="dxa" w:w="3672"/>
            <w:shd w:fill="17365D"/>
            <w:tcMar>
              <w:top w:w="100" w:type="dxa"/>
              <w:start w:w="120" w:type="dxa"/>
              <w:bottom w:w="100" w:type="dxa"/>
              <w:end w:w="120" w:type="dxa"/>
            </w:tcMar>
            <w:vAlign w:val="center"/>
          </w:tcPr>
          <w:p>
            <w:pPr>
              <w:jc w:val="center"/>
            </w:pPr>
            <w:r>
              <w:rPr>
                <w:b/>
                <w:color w:val="FFFFFF"/>
                <w:sz w:val="18"/>
              </w:rPr>
              <w:t>Implemented</w:t>
            </w:r>
          </w:p>
        </w:tc>
        <w:tc>
          <w:tcPr>
            <w:tcW w:type="dxa" w:w="3528"/>
            <w:shd w:fill="17365D"/>
            <w:tcMar>
              <w:top w:w="100" w:type="dxa"/>
              <w:start w:w="120" w:type="dxa"/>
              <w:bottom w:w="100" w:type="dxa"/>
              <w:end w:w="120" w:type="dxa"/>
            </w:tcMar>
            <w:vAlign w:val="center"/>
          </w:tcPr>
          <w:p>
            <w:pPr>
              <w:jc w:val="center"/>
            </w:pPr>
            <w:r>
              <w:rPr>
                <w:b/>
                <w:color w:val="FFFFFF"/>
                <w:sz w:val="18"/>
              </w:rPr>
              <w:t>Receiver hardening</w:t>
            </w:r>
          </w:p>
        </w:tc>
      </w:tr>
      <w:tr>
        <w:tc>
          <w:tcPr>
            <w:tcW w:type="dxa" w:w="1944"/>
            <w:tcMar>
              <w:top w:w="100" w:type="dxa"/>
              <w:start w:w="120" w:type="dxa"/>
              <w:bottom w:w="100" w:type="dxa"/>
              <w:end w:w="120" w:type="dxa"/>
            </w:tcMar>
            <w:vAlign w:val="center"/>
          </w:tcPr>
          <w:p>
            <w:r>
              <w:rPr>
                <w:color w:val="1F2937"/>
                <w:sz w:val="18"/>
              </w:rPr>
              <w:t>Authentication and secrets</w:t>
            </w:r>
          </w:p>
        </w:tc>
        <w:tc>
          <w:tcPr>
            <w:tcW w:type="dxa" w:w="3672"/>
            <w:tcMar>
              <w:top w:w="100" w:type="dxa"/>
              <w:start w:w="120" w:type="dxa"/>
              <w:bottom w:w="100" w:type="dxa"/>
              <w:end w:w="120" w:type="dxa"/>
            </w:tcMar>
            <w:vAlign w:val="center"/>
          </w:tcPr>
          <w:p>
            <w:r>
              <w:rPr>
                <w:color w:val="1F2937"/>
                <w:sz w:val="18"/>
              </w:rPr>
              <w:t>scrypt passwords, AES-256-GCM connector secrets, loopback-only reset request</w:t>
            </w:r>
          </w:p>
        </w:tc>
        <w:tc>
          <w:tcPr>
            <w:tcW w:type="dxa" w:w="3528"/>
            <w:tcMar>
              <w:top w:w="100" w:type="dxa"/>
              <w:start w:w="120" w:type="dxa"/>
              <w:bottom w:w="100" w:type="dxa"/>
              <w:end w:w="120" w:type="dxa"/>
            </w:tcMar>
            <w:vAlign w:val="center"/>
          </w:tcPr>
          <w:p>
            <w:r>
              <w:rPr>
                <w:color w:val="1F2937"/>
                <w:sz w:val="18"/>
              </w:rPr>
              <w:t>Use an external secrets manager, rotate bootstrap and connector secrets, enable TLS</w:t>
            </w:r>
          </w:p>
        </w:tc>
      </w:tr>
      <w:tr>
        <w:tc>
          <w:tcPr>
            <w:tcW w:type="dxa" w:w="1944"/>
            <w:tcMar>
              <w:top w:w="100" w:type="dxa"/>
              <w:start w:w="120" w:type="dxa"/>
              <w:bottom w:w="100" w:type="dxa"/>
              <w:end w:w="120" w:type="dxa"/>
            </w:tcMar>
            <w:vAlign w:val="center"/>
            <w:shd w:fill="F7F9FC"/>
          </w:tcPr>
          <w:p>
            <w:r>
              <w:rPr>
                <w:color w:val="1F2937"/>
                <w:sz w:val="18"/>
              </w:rPr>
              <w:t>Authorization</w:t>
            </w:r>
          </w:p>
        </w:tc>
        <w:tc>
          <w:tcPr>
            <w:tcW w:type="dxa" w:w="3672"/>
            <w:tcMar>
              <w:top w:w="100" w:type="dxa"/>
              <w:start w:w="120" w:type="dxa"/>
              <w:bottom w:w="100" w:type="dxa"/>
              <w:end w:w="120" w:type="dxa"/>
            </w:tcMar>
            <w:vAlign w:val="center"/>
            <w:shd w:fill="F7F9FC"/>
          </w:tcPr>
          <w:p>
            <w:r>
              <w:rPr>
                <w:color w:val="1F2937"/>
                <w:sz w:val="18"/>
              </w:rPr>
              <w:t>Role permissions plus organization/project/agent allowlists</w:t>
            </w:r>
          </w:p>
        </w:tc>
        <w:tc>
          <w:tcPr>
            <w:tcW w:type="dxa" w:w="3528"/>
            <w:tcMar>
              <w:top w:w="100" w:type="dxa"/>
              <w:start w:w="120" w:type="dxa"/>
              <w:bottom w:w="100" w:type="dxa"/>
              <w:end w:w="120" w:type="dxa"/>
            </w:tcMar>
            <w:vAlign w:val="center"/>
            <w:shd w:fill="F7F9FC"/>
          </w:tcPr>
          <w:p>
            <w:r>
              <w:rPr>
                <w:color w:val="1F2937"/>
                <w:sz w:val="18"/>
              </w:rPr>
              <w:t>Review least privilege after users and projects are recreated</w:t>
            </w:r>
          </w:p>
        </w:tc>
      </w:tr>
      <w:tr>
        <w:tc>
          <w:tcPr>
            <w:tcW w:type="dxa" w:w="1944"/>
            <w:tcMar>
              <w:top w:w="100" w:type="dxa"/>
              <w:start w:w="120" w:type="dxa"/>
              <w:bottom w:w="100" w:type="dxa"/>
              <w:end w:w="120" w:type="dxa"/>
            </w:tcMar>
            <w:vAlign w:val="center"/>
          </w:tcPr>
          <w:p>
            <w:r>
              <w:rPr>
                <w:color w:val="1F2937"/>
                <w:sz w:val="18"/>
              </w:rPr>
              <w:t>Project data isolation</w:t>
            </w:r>
          </w:p>
        </w:tc>
        <w:tc>
          <w:tcPr>
            <w:tcW w:type="dxa" w:w="3672"/>
            <w:tcMar>
              <w:top w:w="100" w:type="dxa"/>
              <w:start w:w="120" w:type="dxa"/>
              <w:bottom w:w="100" w:type="dxa"/>
              <w:end w:w="120" w:type="dxa"/>
            </w:tcMar>
            <w:vAlign w:val="center"/>
          </w:tcPr>
          <w:p>
            <w:r>
              <w:rPr>
                <w:color w:val="1F2937"/>
                <w:sz w:val="18"/>
              </w:rPr>
              <w:t>Scoped retrieval, deployment/private visibility, managed paths</w:t>
            </w:r>
          </w:p>
        </w:tc>
        <w:tc>
          <w:tcPr>
            <w:tcW w:type="dxa" w:w="3528"/>
            <w:tcMar>
              <w:top w:w="100" w:type="dxa"/>
              <w:start w:w="120" w:type="dxa"/>
              <w:bottom w:w="100" w:type="dxa"/>
              <w:end w:w="120" w:type="dxa"/>
            </w:tcMar>
            <w:vAlign w:val="center"/>
          </w:tcPr>
          <w:p>
            <w:r>
              <w:rPr>
                <w:color w:val="1F2937"/>
                <w:sz w:val="18"/>
              </w:rPr>
              <w:t>Add multipart quotas and test all connector roots</w:t>
            </w:r>
          </w:p>
        </w:tc>
      </w:tr>
      <w:tr>
        <w:tc>
          <w:tcPr>
            <w:tcW w:type="dxa" w:w="1944"/>
            <w:tcMar>
              <w:top w:w="100" w:type="dxa"/>
              <w:start w:w="120" w:type="dxa"/>
              <w:bottom w:w="100" w:type="dxa"/>
              <w:end w:w="120" w:type="dxa"/>
            </w:tcMar>
            <w:vAlign w:val="center"/>
            <w:shd w:fill="F7F9FC"/>
          </w:tcPr>
          <w:p>
            <w:r>
              <w:rPr>
                <w:color w:val="1F2937"/>
                <w:sz w:val="18"/>
              </w:rPr>
              <w:t>Execution safety</w:t>
            </w:r>
          </w:p>
        </w:tc>
        <w:tc>
          <w:tcPr>
            <w:tcW w:type="dxa" w:w="3672"/>
            <w:tcMar>
              <w:top w:w="100" w:type="dxa"/>
              <w:start w:w="120" w:type="dxa"/>
              <w:bottom w:w="100" w:type="dxa"/>
              <w:end w:w="120" w:type="dxa"/>
            </w:tcMar>
            <w:vAlign w:val="center"/>
            <w:shd w:fill="F7F9FC"/>
          </w:tcPr>
          <w:p>
            <w:r>
              <w:rPr>
                <w:color w:val="1F2937"/>
                <w:sz w:val="18"/>
              </w:rPr>
              <w:t>Bounded envelopes, allowed tools, approval bypass rejection, shell-safe CLI</w:t>
            </w:r>
          </w:p>
        </w:tc>
        <w:tc>
          <w:tcPr>
            <w:tcW w:type="dxa" w:w="3528"/>
            <w:tcMar>
              <w:top w:w="100" w:type="dxa"/>
              <w:start w:w="120" w:type="dxa"/>
              <w:bottom w:w="100" w:type="dxa"/>
              <w:end w:w="120" w:type="dxa"/>
            </w:tcMar>
            <w:vAlign w:val="center"/>
            <w:shd w:fill="F7F9FC"/>
          </w:tcPr>
          <w:p>
            <w:r>
              <w:rPr>
                <w:color w:val="1F2937"/>
                <w:sz w:val="18"/>
              </w:rPr>
              <w:t>Constrain egress and provider network access</w:t>
            </w:r>
          </w:p>
        </w:tc>
      </w:tr>
      <w:tr>
        <w:tc>
          <w:tcPr>
            <w:tcW w:type="dxa" w:w="1944"/>
            <w:tcMar>
              <w:top w:w="100" w:type="dxa"/>
              <w:start w:w="120" w:type="dxa"/>
              <w:bottom w:w="100" w:type="dxa"/>
              <w:end w:w="120" w:type="dxa"/>
            </w:tcMar>
            <w:vAlign w:val="center"/>
          </w:tcPr>
          <w:p>
            <w:r>
              <w:rPr>
                <w:color w:val="1F2937"/>
                <w:sz w:val="18"/>
              </w:rPr>
              <w:t>Bridge safety</w:t>
            </w:r>
          </w:p>
        </w:tc>
        <w:tc>
          <w:tcPr>
            <w:tcW w:type="dxa" w:w="3672"/>
            <w:tcMar>
              <w:top w:w="100" w:type="dxa"/>
              <w:start w:w="120" w:type="dxa"/>
              <w:bottom w:w="100" w:type="dxa"/>
              <w:end w:w="120" w:type="dxa"/>
            </w:tcMar>
            <w:vAlign w:val="center"/>
          </w:tcPr>
          <w:p>
            <w:r>
              <w:rPr>
                <w:color w:val="1F2937"/>
                <w:sz w:val="18"/>
              </w:rPr>
              <w:t>Loopback bridge host check, callback token, per-project sessions and dedupe</w:t>
            </w:r>
          </w:p>
        </w:tc>
        <w:tc>
          <w:tcPr>
            <w:tcW w:type="dxa" w:w="3528"/>
            <w:tcMar>
              <w:top w:w="100" w:type="dxa"/>
              <w:start w:w="120" w:type="dxa"/>
              <w:bottom w:w="100" w:type="dxa"/>
              <w:end w:w="120" w:type="dxa"/>
            </w:tcMar>
            <w:vAlign w:val="center"/>
          </w:tcPr>
          <w:p>
            <w:r>
              <w:rPr>
                <w:color w:val="1F2937"/>
                <w:sz w:val="18"/>
              </w:rPr>
              <w:t>Set Hermes adapter secret; keep ports private; verify group bindings</w:t>
            </w:r>
          </w:p>
        </w:tc>
      </w:tr>
      <w:tr>
        <w:tc>
          <w:tcPr>
            <w:tcW w:type="dxa" w:w="1944"/>
            <w:tcMar>
              <w:top w:w="100" w:type="dxa"/>
              <w:start w:w="120" w:type="dxa"/>
              <w:bottom w:w="100" w:type="dxa"/>
              <w:end w:w="120" w:type="dxa"/>
            </w:tcMar>
            <w:vAlign w:val="center"/>
            <w:shd w:fill="F7F9FC"/>
          </w:tcPr>
          <w:p>
            <w:r>
              <w:rPr>
                <w:color w:val="1F2937"/>
                <w:sz w:val="18"/>
              </w:rPr>
              <w:t>Session resilience</w:t>
            </w:r>
          </w:p>
        </w:tc>
        <w:tc>
          <w:tcPr>
            <w:tcW w:type="dxa" w:w="3672"/>
            <w:tcMar>
              <w:top w:w="100" w:type="dxa"/>
              <w:start w:w="120" w:type="dxa"/>
              <w:bottom w:w="100" w:type="dxa"/>
              <w:end w:w="120" w:type="dxa"/>
            </w:tcMar>
            <w:vAlign w:val="center"/>
            <w:shd w:fill="F7F9FC"/>
          </w:tcPr>
          <w:p>
            <w:r>
              <w:rPr>
                <w:color w:val="1F2937"/>
                <w:sz w:val="18"/>
              </w:rPr>
              <w:t>Idle timeout and active-user checks</w:t>
            </w:r>
          </w:p>
        </w:tc>
        <w:tc>
          <w:tcPr>
            <w:tcW w:type="dxa" w:w="3528"/>
            <w:tcMar>
              <w:top w:w="100" w:type="dxa"/>
              <w:start w:w="120" w:type="dxa"/>
              <w:bottom w:w="100" w:type="dxa"/>
              <w:end w:w="120" w:type="dxa"/>
            </w:tcMar>
            <w:vAlign w:val="center"/>
            <w:shd w:fill="F7F9FC"/>
          </w:tcPr>
          <w:p>
            <w:r>
              <w:rPr>
                <w:color w:val="1F2937"/>
                <w:sz w:val="18"/>
              </w:rPr>
              <w:t>Use shared session storage before horizontal scaling</w:t>
            </w:r>
          </w:p>
        </w:tc>
      </w:tr>
      <w:tr>
        <w:tc>
          <w:tcPr>
            <w:tcW w:type="dxa" w:w="1944"/>
            <w:tcMar>
              <w:top w:w="100" w:type="dxa"/>
              <w:start w:w="120" w:type="dxa"/>
              <w:bottom w:w="100" w:type="dxa"/>
              <w:end w:w="120" w:type="dxa"/>
            </w:tcMar>
            <w:vAlign w:val="center"/>
          </w:tcPr>
          <w:p>
            <w:r>
              <w:rPr>
                <w:color w:val="1F2937"/>
                <w:sz w:val="18"/>
              </w:rPr>
              <w:t>Web threats</w:t>
            </w:r>
          </w:p>
        </w:tc>
        <w:tc>
          <w:tcPr>
            <w:tcW w:type="dxa" w:w="3672"/>
            <w:tcMar>
              <w:top w:w="100" w:type="dxa"/>
              <w:start w:w="120" w:type="dxa"/>
              <w:bottom w:w="100" w:type="dxa"/>
              <w:end w:w="120" w:type="dxa"/>
            </w:tcMar>
            <w:vAlign w:val="center"/>
          </w:tcPr>
          <w:p>
            <w:r>
              <w:rPr>
                <w:color w:val="1F2937"/>
                <w:sz w:val="18"/>
              </w:rPr>
              <w:t>HttpOnly/SameSite cookies</w:t>
            </w:r>
          </w:p>
        </w:tc>
        <w:tc>
          <w:tcPr>
            <w:tcW w:type="dxa" w:w="3528"/>
            <w:tcMar>
              <w:top w:w="100" w:type="dxa"/>
              <w:start w:w="120" w:type="dxa"/>
              <w:bottom w:w="100" w:type="dxa"/>
              <w:end w:w="120" w:type="dxa"/>
            </w:tcMar>
            <w:vAlign w:val="center"/>
          </w:tcPr>
          <w:p>
            <w:r>
              <w:rPr>
                <w:color w:val="1F2937"/>
                <w:sz w:val="18"/>
              </w:rPr>
              <w:t>Add CSRF protection and login rate limiting before internet exposure</w:t>
            </w:r>
          </w:p>
        </w:tc>
      </w:tr>
      <w:tr>
        <w:tc>
          <w:tcPr>
            <w:tcW w:type="dxa" w:w="1944"/>
            <w:tcMar>
              <w:top w:w="100" w:type="dxa"/>
              <w:start w:w="120" w:type="dxa"/>
              <w:bottom w:w="100" w:type="dxa"/>
              <w:end w:w="120" w:type="dxa"/>
            </w:tcMar>
            <w:vAlign w:val="center"/>
            <w:shd w:fill="F7F9FC"/>
          </w:tcPr>
          <w:p>
            <w:r>
              <w:rPr>
                <w:color w:val="1F2937"/>
                <w:sz w:val="18"/>
              </w:rPr>
              <w:t>Audit</w:t>
            </w:r>
          </w:p>
        </w:tc>
        <w:tc>
          <w:tcPr>
            <w:tcW w:type="dxa" w:w="3672"/>
            <w:tcMar>
              <w:top w:w="100" w:type="dxa"/>
              <w:start w:w="120" w:type="dxa"/>
              <w:bottom w:w="100" w:type="dxa"/>
              <w:end w:w="120" w:type="dxa"/>
            </w:tcMar>
            <w:vAlign w:val="center"/>
            <w:shd w:fill="F7F9FC"/>
          </w:tcPr>
          <w:p>
            <w:r>
              <w:rPr>
                <w:color w:val="1F2937"/>
                <w:sz w:val="18"/>
              </w:rPr>
              <w:t>Execution traces, manifest hashes, activity and QA findings</w:t>
            </w:r>
          </w:p>
        </w:tc>
        <w:tc>
          <w:tcPr>
            <w:tcW w:type="dxa" w:w="3528"/>
            <w:tcMar>
              <w:top w:w="100" w:type="dxa"/>
              <w:start w:w="120" w:type="dxa"/>
              <w:bottom w:w="100" w:type="dxa"/>
              <w:end w:w="120" w:type="dxa"/>
            </w:tcMar>
            <w:vAlign w:val="center"/>
            <w:shd w:fill="F7F9FC"/>
          </w:tcPr>
          <w:p>
            <w:r>
              <w:rPr>
                <w:color w:val="1F2937"/>
                <w:sz w:val="18"/>
              </w:rPr>
              <w:t>Export immutable/WORM audit logs if required by policy</w:t>
            </w:r>
          </w:p>
        </w:tc>
      </w:tr>
    </w:tbl>
    <w:p>
      <w:pPr>
        <w:spacing w:after="40"/>
      </w:pPr>
    </w:p>
    <w:p>
      <w:pPr>
        <w:spacing w:after="140" w:line="259" w:lineRule="auto"/>
      </w:pPr>
      <w:r>
        <w:t>The source review did not evidence explicit login rate limiting, MFA, centralized secrets management, immutable audit storage, a CSRF token, distributed sessions or a DNS/private-IP SSRF denylist for provider URLs. Treat these as receiver-owned production controls before public exposure.</w:t>
      </w:r>
    </w:p>
    <w:p>
      <w:pPr>
        <w:pStyle w:val="Heading1"/>
      </w:pPr>
      <w:r>
        <w:t>18 Operations backup and restore</w:t>
      </w:r>
    </w:p>
    <w:p>
      <w:pPr>
        <w:spacing w:after="140" w:line="259" w:lineRule="auto"/>
      </w:pPr>
      <w:r>
        <w:t>The preserved Docker package contains Compose files, environment examples, a logical PostgreSQL snapshot, data/runtime archives, checksums and restore scripts. Restore should be performed into an isolated receiver workspace, followed by health, schema, retrieval, conversion and bridge checks before any project users are invited.</w:t>
      </w:r>
    </w:p>
    <w:p>
      <w:pPr>
        <w:spacing w:before="120" w:after="60"/>
        <w:jc w:val="center"/>
      </w:pPr>
      <w:r>
        <w:drawing>
          <wp:inline xmlns:a="http://schemas.openxmlformats.org/drawingml/2006/main" xmlns:pic="http://schemas.openxmlformats.org/drawingml/2006/picture">
            <wp:extent cx="5897880" cy="3538728"/>
            <wp:docPr id="11" name="Picture 11" descr="Image: image11.png"/>
            <wp:cNvGraphicFramePr>
              <a:graphicFrameLocks noChangeAspect="1"/>
            </wp:cNvGraphicFramePr>
            <a:graphic>
              <a:graphicData uri="http://schemas.openxmlformats.org/drawingml/2006/picture">
                <pic:pic>
                  <pic:nvPicPr>
                    <pic:cNvPr id="0" name="11-backup-recovery.png"/>
                    <pic:cNvPicPr/>
                  </pic:nvPicPr>
                  <pic:blipFill>
                    <a:blip r:embed="rId19"/>
                    <a:stretch>
                      <a:fillRect/>
                    </a:stretch>
                  </pic:blipFill>
                  <pic:spPr>
                    <a:xfrm>
                      <a:off x="0" y="0"/>
                      <a:ext cx="5897880" cy="3538728"/>
                    </a:xfrm>
                    <a:prstGeom prst="rect"/>
                  </pic:spPr>
                </pic:pic>
              </a:graphicData>
            </a:graphic>
          </wp:inline>
        </w:drawing>
      </w:r>
    </w:p>
    <w:p>
      <w:pPr>
        <w:spacing w:after="200"/>
        <w:jc w:val="center"/>
      </w:pPr>
      <w:r>
        <w:rPr>
          <w:i/>
          <w:color w:val="595959"/>
          <w:sz w:val="18"/>
        </w:rPr>
        <w:t>Figure 11. Backup and recovery topology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tcMar>
              <w:top w:w="100" w:type="dxa"/>
              <w:start w:w="120" w:type="dxa"/>
              <w:bottom w:w="100" w:type="dxa"/>
              <w:end w:w="120" w:type="dxa"/>
            </w:tcMar>
            <w:vAlign w:val="center"/>
          </w:tcPr>
          <w:p>
            <w:pPr>
              <w:jc w:val="center"/>
            </w:pPr>
            <w:r>
              <w:rPr>
                <w:b/>
                <w:color w:val="FFFFFF"/>
                <w:sz w:val="18"/>
              </w:rPr>
              <w:t>Operation</w:t>
            </w:r>
          </w:p>
        </w:tc>
        <w:tc>
          <w:tcPr>
            <w:tcW w:type="dxa" w:w="7200"/>
            <w:shd w:fill="17365D"/>
            <w:tcMar>
              <w:top w:w="100" w:type="dxa"/>
              <w:start w:w="120" w:type="dxa"/>
              <w:bottom w:w="100" w:type="dxa"/>
              <w:end w:w="120" w:type="dxa"/>
            </w:tcMar>
            <w:vAlign w:val="center"/>
          </w:tcPr>
          <w:p>
            <w:pPr>
              <w:jc w:val="center"/>
            </w:pPr>
            <w:r>
              <w:rPr>
                <w:b/>
                <w:color w:val="FFFFFF"/>
                <w:sz w:val="18"/>
              </w:rPr>
              <w:t>Receiver procedure</w:t>
            </w:r>
          </w:p>
        </w:tc>
      </w:tr>
      <w:tr>
        <w:tc>
          <w:tcPr>
            <w:tcW w:type="dxa" w:w="1944"/>
            <w:tcMar>
              <w:top w:w="100" w:type="dxa"/>
              <w:start w:w="120" w:type="dxa"/>
              <w:bottom w:w="100" w:type="dxa"/>
              <w:end w:w="120" w:type="dxa"/>
            </w:tcMar>
            <w:vAlign w:val="center"/>
          </w:tcPr>
          <w:p>
            <w:r>
              <w:rPr>
                <w:color w:val="1F2937"/>
                <w:sz w:val="18"/>
              </w:rPr>
              <w:t>Restore source</w:t>
            </w:r>
          </w:p>
        </w:tc>
        <w:tc>
          <w:tcPr>
            <w:tcW w:type="dxa" w:w="7200"/>
            <w:tcMar>
              <w:top w:w="100" w:type="dxa"/>
              <w:start w:w="120" w:type="dxa"/>
              <w:bottom w:w="100" w:type="dxa"/>
              <w:end w:w="120" w:type="dxa"/>
            </w:tcMar>
            <w:vAlign w:val="center"/>
          </w:tcPr>
          <w:p>
            <w:r>
              <w:rPr>
                <w:color w:val="1F2937"/>
                <w:sz w:val="18"/>
              </w:rPr>
              <w:t>Copy 01-source and 02-docker-preserved to a controlled workspace; inspect HANDOVER.md and RESTORE.md.</w:t>
            </w:r>
          </w:p>
        </w:tc>
      </w:tr>
      <w:tr>
        <w:tc>
          <w:tcPr>
            <w:tcW w:type="dxa" w:w="1944"/>
            <w:tcMar>
              <w:top w:w="100" w:type="dxa"/>
              <w:start w:w="120" w:type="dxa"/>
              <w:bottom w:w="100" w:type="dxa"/>
              <w:end w:w="120" w:type="dxa"/>
            </w:tcMar>
            <w:vAlign w:val="center"/>
            <w:shd w:fill="F7F9FC"/>
          </w:tcPr>
          <w:p>
            <w:r>
              <w:rPr>
                <w:color w:val="1F2937"/>
                <w:sz w:val="18"/>
              </w:rPr>
              <w:t>Configure</w:t>
            </w:r>
          </w:p>
        </w:tc>
        <w:tc>
          <w:tcPr>
            <w:tcW w:type="dxa" w:w="7200"/>
            <w:tcMar>
              <w:top w:w="100" w:type="dxa"/>
              <w:start w:w="120" w:type="dxa"/>
              <w:bottom w:w="100" w:type="dxa"/>
              <w:end w:w="120" w:type="dxa"/>
            </w:tcMar>
            <w:vAlign w:val="center"/>
            <w:shd w:fill="F7F9FC"/>
          </w:tcPr>
          <w:p>
            <w:r>
              <w:rPr>
                <w:color w:val="1F2937"/>
                <w:sz w:val="18"/>
              </w:rPr>
              <w:t>Create a receiver-owned .env from .env.example; set APP_SECRET, database credentials, provider keys, Hermes secret and trusted proxy settings.</w:t>
            </w:r>
          </w:p>
        </w:tc>
      </w:tr>
      <w:tr>
        <w:tc>
          <w:tcPr>
            <w:tcW w:type="dxa" w:w="1944"/>
            <w:tcMar>
              <w:top w:w="100" w:type="dxa"/>
              <w:start w:w="120" w:type="dxa"/>
              <w:bottom w:w="100" w:type="dxa"/>
              <w:end w:w="120" w:type="dxa"/>
            </w:tcMar>
            <w:vAlign w:val="center"/>
          </w:tcPr>
          <w:p>
            <w:r>
              <w:rPr>
                <w:color w:val="1F2937"/>
                <w:sz w:val="18"/>
              </w:rPr>
              <w:t>Start</w:t>
            </w:r>
          </w:p>
        </w:tc>
        <w:tc>
          <w:tcPr>
            <w:tcW w:type="dxa" w:w="7200"/>
            <w:tcMar>
              <w:top w:w="100" w:type="dxa"/>
              <w:start w:w="120" w:type="dxa"/>
              <w:bottom w:w="100" w:type="dxa"/>
              <w:end w:w="120" w:type="dxa"/>
            </w:tcMar>
            <w:vAlign w:val="center"/>
          </w:tcPr>
          <w:p>
            <w:r>
              <w:rPr>
                <w:color w:val="1F2937"/>
                <w:sz w:val="18"/>
              </w:rPr>
              <w:t>Run docker compose up -d --build from 02-docker-preserved/docker. Keep PostgreSQL host binding loopback-only.</w:t>
            </w:r>
          </w:p>
        </w:tc>
      </w:tr>
      <w:tr>
        <w:tc>
          <w:tcPr>
            <w:tcW w:type="dxa" w:w="1944"/>
            <w:tcMar>
              <w:top w:w="100" w:type="dxa"/>
              <w:start w:w="120" w:type="dxa"/>
              <w:bottom w:w="100" w:type="dxa"/>
              <w:end w:w="120" w:type="dxa"/>
            </w:tcMar>
            <w:vAlign w:val="center"/>
            <w:shd w:fill="F7F9FC"/>
          </w:tcPr>
          <w:p>
            <w:r>
              <w:rPr>
                <w:color w:val="1F2937"/>
                <w:sz w:val="18"/>
              </w:rPr>
              <w:t>Restore database</w:t>
            </w:r>
          </w:p>
        </w:tc>
        <w:tc>
          <w:tcPr>
            <w:tcW w:type="dxa" w:w="7200"/>
            <w:tcMar>
              <w:top w:w="100" w:type="dxa"/>
              <w:start w:w="120" w:type="dxa"/>
              <w:bottom w:w="100" w:type="dxa"/>
              <w:end w:w="120" w:type="dxa"/>
            </w:tcMar>
            <w:vAlign w:val="center"/>
            <w:shd w:fill="F7F9FC"/>
          </w:tcPr>
          <w:p>
            <w:r>
              <w:rPr>
                <w:color w:val="1F2937"/>
                <w:sz w:val="18"/>
              </w:rPr>
              <w:t>Use the supplied logical restore script and confirm schema varadise revision.</w:t>
            </w:r>
          </w:p>
        </w:tc>
      </w:tr>
      <w:tr>
        <w:tc>
          <w:tcPr>
            <w:tcW w:type="dxa" w:w="1944"/>
            <w:tcMar>
              <w:top w:w="100" w:type="dxa"/>
              <w:start w:w="120" w:type="dxa"/>
              <w:bottom w:w="100" w:type="dxa"/>
              <w:end w:w="120" w:type="dxa"/>
            </w:tcMar>
            <w:vAlign w:val="center"/>
          </w:tcPr>
          <w:p>
            <w:r>
              <w:rPr>
                <w:color w:val="1F2937"/>
                <w:sz w:val="18"/>
              </w:rPr>
              <w:t>Restore files</w:t>
            </w:r>
          </w:p>
        </w:tc>
        <w:tc>
          <w:tcPr>
            <w:tcW w:type="dxa" w:w="7200"/>
            <w:tcMar>
              <w:top w:w="100" w:type="dxa"/>
              <w:start w:w="120" w:type="dxa"/>
              <w:bottom w:w="100" w:type="dxa"/>
              <w:end w:w="120" w:type="dxa"/>
            </w:tcMar>
            <w:vAlign w:val="center"/>
          </w:tcPr>
          <w:p>
            <w:r>
              <w:rPr>
                <w:color w:val="1F2937"/>
                <w:sz w:val="18"/>
              </w:rPr>
              <w:t>Restore app-data, runtime-data and Hermes data with correct ownership and permissions.</w:t>
            </w:r>
          </w:p>
        </w:tc>
      </w:tr>
      <w:tr>
        <w:tc>
          <w:tcPr>
            <w:tcW w:type="dxa" w:w="1944"/>
            <w:tcMar>
              <w:top w:w="100" w:type="dxa"/>
              <w:start w:w="120" w:type="dxa"/>
              <w:bottom w:w="100" w:type="dxa"/>
              <w:end w:w="120" w:type="dxa"/>
            </w:tcMar>
            <w:vAlign w:val="center"/>
            <w:shd w:fill="F7F9FC"/>
          </w:tcPr>
          <w:p>
            <w:r>
              <w:rPr>
                <w:color w:val="1F2937"/>
                <w:sz w:val="18"/>
              </w:rPr>
              <w:t>Validate</w:t>
            </w:r>
          </w:p>
        </w:tc>
        <w:tc>
          <w:tcPr>
            <w:tcW w:type="dxa" w:w="7200"/>
            <w:tcMar>
              <w:top w:w="100" w:type="dxa"/>
              <w:start w:w="120" w:type="dxa"/>
              <w:bottom w:w="100" w:type="dxa"/>
              <w:end w:w="120" w:type="dxa"/>
            </w:tcMar>
            <w:vAlign w:val="center"/>
            <w:shd w:fill="F7F9FC"/>
          </w:tcPr>
          <w:p>
            <w:r>
              <w:rPr>
                <w:color w:val="1F2937"/>
                <w:sz w:val="18"/>
              </w:rPr>
              <w:t>Check /health, /api/health or equivalent, retrieval counts, DOCX-to-PDF conversion, Hermes /health and WhatsApp session status.</w:t>
            </w:r>
          </w:p>
        </w:tc>
      </w:tr>
      <w:tr>
        <w:tc>
          <w:tcPr>
            <w:tcW w:type="dxa" w:w="1944"/>
            <w:tcMar>
              <w:top w:w="100" w:type="dxa"/>
              <w:start w:w="120" w:type="dxa"/>
              <w:bottom w:w="100" w:type="dxa"/>
              <w:end w:w="120" w:type="dxa"/>
            </w:tcMar>
            <w:vAlign w:val="center"/>
          </w:tcPr>
          <w:p>
            <w:r>
              <w:rPr>
                <w:color w:val="1F2937"/>
                <w:sz w:val="18"/>
              </w:rPr>
              <w:t>Operate</w:t>
            </w:r>
          </w:p>
        </w:tc>
        <w:tc>
          <w:tcPr>
            <w:tcW w:type="dxa" w:w="7200"/>
            <w:tcMar>
              <w:top w:w="100" w:type="dxa"/>
              <w:start w:w="120" w:type="dxa"/>
              <w:bottom w:w="100" w:type="dxa"/>
              <w:end w:w="120" w:type="dxa"/>
            </w:tcMar>
            <w:vAlign w:val="center"/>
          </w:tcPr>
          <w:p>
            <w:r>
              <w:rPr>
                <w:color w:val="1F2937"/>
                <w:sz w:val="18"/>
              </w:rPr>
              <w:t>Create users, rotate bootstrap credentials, verify scopes, schedule database and file backups, and document provider/WhatsApp ownership.</w:t>
            </w:r>
          </w:p>
        </w:tc>
      </w:tr>
    </w:tbl>
    <w:p>
      <w:pPr>
        <w:spacing w:after="40"/>
      </w:pPr>
    </w:p>
    <w:p>
      <w:pPr>
        <w:pStyle w:val="Heading1"/>
      </w:pPr>
      <w:r>
        <w:t>19 Testing and acceptance</w:t>
      </w:r>
    </w:p>
    <w:p>
      <w:pPr>
        <w:spacing w:after="140" w:line="259" w:lineRule="auto"/>
      </w:pPr>
      <w:r>
        <w:t>Acceptance should prove both the happy path and the isolation path. Existing tests cover user access boundaries, password change/reset, last-admin protection, QR pairing, per-project sessions, bridge-token rejection, dedupe, context, group routing and attachment delivery. The receiver should rerun the relevant suite after restoring the handover package and add environment-specific checks.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shd w:fill="17365D"/>
            <w:tcMar>
              <w:top w:w="100" w:type="dxa"/>
              <w:start w:w="120" w:type="dxa"/>
              <w:bottom w:w="100" w:type="dxa"/>
              <w:end w:w="120" w:type="dxa"/>
            </w:tcMar>
            <w:vAlign w:val="center"/>
          </w:tcPr>
          <w:p>
            <w:pPr>
              <w:jc w:val="center"/>
            </w:pPr>
            <w:r>
              <w:rPr>
                <w:b/>
                <w:color w:val="FFFFFF"/>
                <w:sz w:val="18"/>
              </w:rPr>
              <w:t>Test ID</w:t>
            </w:r>
          </w:p>
        </w:tc>
        <w:tc>
          <w:tcPr>
            <w:tcW w:type="dxa" w:w="6048"/>
            <w:shd w:fill="17365D"/>
            <w:tcMar>
              <w:top w:w="100" w:type="dxa"/>
              <w:start w:w="120" w:type="dxa"/>
              <w:bottom w:w="100" w:type="dxa"/>
              <w:end w:w="120" w:type="dxa"/>
            </w:tcMar>
            <w:vAlign w:val="center"/>
          </w:tcPr>
          <w:p>
            <w:pPr>
              <w:jc w:val="center"/>
            </w:pPr>
            <w:r>
              <w:rPr>
                <w:b/>
                <w:color w:val="FFFFFF"/>
                <w:sz w:val="18"/>
              </w:rPr>
              <w:t>Acceptance check</w:t>
            </w:r>
          </w:p>
        </w:tc>
        <w:tc>
          <w:tcPr>
            <w:tcW w:type="dxa" w:w="2088"/>
            <w:shd w:fill="17365D"/>
            <w:tcMar>
              <w:top w:w="100" w:type="dxa"/>
              <w:start w:w="120" w:type="dxa"/>
              <w:bottom w:w="100" w:type="dxa"/>
              <w:end w:w="120" w:type="dxa"/>
            </w:tcMar>
            <w:vAlign w:val="center"/>
          </w:tcPr>
          <w:p>
            <w:pPr>
              <w:jc w:val="center"/>
            </w:pPr>
            <w:r>
              <w:rPr>
                <w:b/>
                <w:color w:val="FFFFFF"/>
                <w:sz w:val="18"/>
              </w:rPr>
              <w:t>Pass evidence</w:t>
            </w:r>
          </w:p>
        </w:tc>
      </w:tr>
      <w:tr>
        <w:tc>
          <w:tcPr>
            <w:tcW w:type="dxa" w:w="1008"/>
            <w:tcMar>
              <w:top w:w="100" w:type="dxa"/>
              <w:start w:w="120" w:type="dxa"/>
              <w:bottom w:w="100" w:type="dxa"/>
              <w:end w:w="120" w:type="dxa"/>
            </w:tcMar>
            <w:vAlign w:val="center"/>
          </w:tcPr>
          <w:p>
            <w:r>
              <w:rPr>
                <w:color w:val="1F2937"/>
                <w:sz w:val="18"/>
              </w:rPr>
              <w:t>AT-01</w:t>
            </w:r>
          </w:p>
        </w:tc>
        <w:tc>
          <w:tcPr>
            <w:tcW w:type="dxa" w:w="6048"/>
            <w:tcMar>
              <w:top w:w="100" w:type="dxa"/>
              <w:start w:w="120" w:type="dxa"/>
              <w:bottom w:w="100" w:type="dxa"/>
              <w:end w:w="120" w:type="dxa"/>
            </w:tcMar>
            <w:vAlign w:val="center"/>
          </w:tcPr>
          <w:p>
            <w:r>
              <w:rPr>
                <w:color w:val="1F2937"/>
                <w:sz w:val="18"/>
              </w:rPr>
              <w:t>Admin login and custom-user scope</w:t>
            </w:r>
          </w:p>
        </w:tc>
        <w:tc>
          <w:tcPr>
            <w:tcW w:type="dxa" w:w="2088"/>
            <w:tcMar>
              <w:top w:w="100" w:type="dxa"/>
              <w:start w:w="120" w:type="dxa"/>
              <w:bottom w:w="100" w:type="dxa"/>
              <w:end w:w="120" w:type="dxa"/>
            </w:tcMar>
            <w:vAlign w:val="center"/>
          </w:tcPr>
          <w:p>
            <w:r>
              <w:rPr>
                <w:color w:val="1F2937"/>
                <w:sz w:val="18"/>
              </w:rPr>
              <w:t>Admin reaches all permitted views; custom user cannot access an unassigned project or expert.</w:t>
            </w:r>
          </w:p>
        </w:tc>
      </w:tr>
      <w:tr>
        <w:tc>
          <w:tcPr>
            <w:tcW w:type="dxa" w:w="1008"/>
            <w:tcMar>
              <w:top w:w="100" w:type="dxa"/>
              <w:start w:w="120" w:type="dxa"/>
              <w:bottom w:w="100" w:type="dxa"/>
              <w:end w:w="120" w:type="dxa"/>
            </w:tcMar>
            <w:vAlign w:val="center"/>
            <w:shd w:fill="F7F9FC"/>
          </w:tcPr>
          <w:p>
            <w:r>
              <w:rPr>
                <w:color w:val="1F2937"/>
                <w:sz w:val="18"/>
              </w:rPr>
              <w:t>AT-02</w:t>
            </w:r>
          </w:p>
        </w:tc>
        <w:tc>
          <w:tcPr>
            <w:tcW w:type="dxa" w:w="6048"/>
            <w:tcMar>
              <w:top w:w="100" w:type="dxa"/>
              <w:start w:w="120" w:type="dxa"/>
              <w:bottom w:w="100" w:type="dxa"/>
              <w:end w:w="120" w:type="dxa"/>
            </w:tcMar>
            <w:vAlign w:val="center"/>
            <w:shd w:fill="F7F9FC"/>
          </w:tcPr>
          <w:p>
            <w:r>
              <w:rPr>
                <w:color w:val="1F2937"/>
                <w:sz w:val="18"/>
              </w:rPr>
              <w:t>Direct Agent Chat</w:t>
            </w:r>
          </w:p>
        </w:tc>
        <w:tc>
          <w:tcPr>
            <w:tcW w:type="dxa" w:w="2088"/>
            <w:tcMar>
              <w:top w:w="100" w:type="dxa"/>
              <w:start w:w="120" w:type="dxa"/>
              <w:bottom w:w="100" w:type="dxa"/>
              <w:end w:w="120" w:type="dxa"/>
            </w:tcMar>
            <w:vAlign w:val="center"/>
            <w:shd w:fill="F7F9FC"/>
          </w:tcPr>
          <w:p>
            <w:r>
              <w:rPr>
                <w:color w:val="1F2937"/>
                <w:sz w:val="18"/>
              </w:rPr>
              <w:t>Message reaches executing and delivery acknowledgement with execution trace.</w:t>
            </w:r>
          </w:p>
        </w:tc>
      </w:tr>
      <w:tr>
        <w:tc>
          <w:tcPr>
            <w:tcW w:type="dxa" w:w="1008"/>
            <w:tcMar>
              <w:top w:w="100" w:type="dxa"/>
              <w:start w:w="120" w:type="dxa"/>
              <w:bottom w:w="100" w:type="dxa"/>
              <w:end w:w="120" w:type="dxa"/>
            </w:tcMar>
            <w:vAlign w:val="center"/>
          </w:tcPr>
          <w:p>
            <w:r>
              <w:rPr>
                <w:color w:val="1F2937"/>
                <w:sz w:val="18"/>
              </w:rPr>
              <w:t>AT-03</w:t>
            </w:r>
          </w:p>
        </w:tc>
        <w:tc>
          <w:tcPr>
            <w:tcW w:type="dxa" w:w="6048"/>
            <w:tcMar>
              <w:top w:w="100" w:type="dxa"/>
              <w:start w:w="120" w:type="dxa"/>
              <w:bottom w:w="100" w:type="dxa"/>
              <w:end w:w="120" w:type="dxa"/>
            </w:tcMar>
            <w:vAlign w:val="center"/>
          </w:tcPr>
          <w:p>
            <w:r>
              <w:rPr>
                <w:color w:val="1F2937"/>
                <w:sz w:val="18"/>
              </w:rPr>
              <w:t>Hermes Agent Chat</w:t>
            </w:r>
          </w:p>
        </w:tc>
        <w:tc>
          <w:tcPr>
            <w:tcW w:type="dxa" w:w="2088"/>
            <w:tcMar>
              <w:top w:w="100" w:type="dxa"/>
              <w:start w:w="120" w:type="dxa"/>
              <w:bottom w:w="100" w:type="dxa"/>
              <w:end w:w="120" w:type="dxa"/>
            </w:tcMar>
            <w:vAlign w:val="center"/>
          </w:tcPr>
          <w:p>
            <w:r>
              <w:rPr>
                <w:color w:val="1F2937"/>
                <w:sz w:val="18"/>
              </w:rPr>
              <w:t>Hermes health is ready; bounded request returns validated response; unlisted tool is rejected.</w:t>
            </w:r>
          </w:p>
        </w:tc>
      </w:tr>
      <w:tr>
        <w:tc>
          <w:tcPr>
            <w:tcW w:type="dxa" w:w="1008"/>
            <w:tcMar>
              <w:top w:w="100" w:type="dxa"/>
              <w:start w:w="120" w:type="dxa"/>
              <w:bottom w:w="100" w:type="dxa"/>
              <w:end w:w="120" w:type="dxa"/>
            </w:tcMar>
            <w:vAlign w:val="center"/>
            <w:shd w:fill="F7F9FC"/>
          </w:tcPr>
          <w:p>
            <w:r>
              <w:rPr>
                <w:color w:val="1F2937"/>
                <w:sz w:val="18"/>
              </w:rPr>
              <w:t>AT-04</w:t>
            </w:r>
          </w:p>
        </w:tc>
        <w:tc>
          <w:tcPr>
            <w:tcW w:type="dxa" w:w="6048"/>
            <w:tcMar>
              <w:top w:w="100" w:type="dxa"/>
              <w:start w:w="120" w:type="dxa"/>
              <w:bottom w:w="100" w:type="dxa"/>
              <w:end w:w="120" w:type="dxa"/>
            </w:tcMar>
            <w:vAlign w:val="center"/>
            <w:shd w:fill="F7F9FC"/>
          </w:tcPr>
          <w:p>
            <w:r>
              <w:rPr>
                <w:color w:val="1F2937"/>
                <w:sz w:val="18"/>
              </w:rPr>
              <w:t>Approval gate</w:t>
            </w:r>
          </w:p>
        </w:tc>
        <w:tc>
          <w:tcPr>
            <w:tcW w:type="dxa" w:w="2088"/>
            <w:tcMar>
              <w:top w:w="100" w:type="dxa"/>
              <w:start w:w="120" w:type="dxa"/>
              <w:bottom w:w="100" w:type="dxa"/>
              <w:end w:w="120" w:type="dxa"/>
            </w:tcMar>
            <w:vAlign w:val="center"/>
            <w:shd w:fill="F7F9FC"/>
          </w:tcPr>
          <w:p>
            <w:r>
              <w:rPr>
                <w:color w:val="1F2937"/>
                <w:sz w:val="18"/>
              </w:rPr>
              <w:t>A tool call pauses for approval and resumes only after the selected permitted tool is approved.</w:t>
            </w:r>
          </w:p>
        </w:tc>
      </w:tr>
      <w:tr>
        <w:tc>
          <w:tcPr>
            <w:tcW w:type="dxa" w:w="1008"/>
            <w:tcMar>
              <w:top w:w="100" w:type="dxa"/>
              <w:start w:w="120" w:type="dxa"/>
              <w:bottom w:w="100" w:type="dxa"/>
              <w:end w:w="120" w:type="dxa"/>
            </w:tcMar>
            <w:vAlign w:val="center"/>
          </w:tcPr>
          <w:p>
            <w:r>
              <w:rPr>
                <w:color w:val="1F2937"/>
                <w:sz w:val="18"/>
              </w:rPr>
              <w:t>AT-05</w:t>
            </w:r>
          </w:p>
        </w:tc>
        <w:tc>
          <w:tcPr>
            <w:tcW w:type="dxa" w:w="6048"/>
            <w:tcMar>
              <w:top w:w="100" w:type="dxa"/>
              <w:start w:w="120" w:type="dxa"/>
              <w:bottom w:w="100" w:type="dxa"/>
              <w:end w:w="120" w:type="dxa"/>
            </w:tcMar>
            <w:vAlign w:val="center"/>
          </w:tcPr>
          <w:p>
            <w:r>
              <w:rPr>
                <w:color w:val="1F2937"/>
                <w:sz w:val="18"/>
              </w:rPr>
              <w:t>Document retrieval</w:t>
            </w:r>
          </w:p>
        </w:tc>
        <w:tc>
          <w:tcPr>
            <w:tcW w:type="dxa" w:w="2088"/>
            <w:tcMar>
              <w:top w:w="100" w:type="dxa"/>
              <w:start w:w="120" w:type="dxa"/>
              <w:bottom w:w="100" w:type="dxa"/>
              <w:end w:w="120" w:type="dxa"/>
            </w:tcMar>
            <w:vAlign w:val="center"/>
          </w:tcPr>
          <w:p>
            <w:r>
              <w:rPr>
                <w:color w:val="1F2937"/>
                <w:sz w:val="18"/>
              </w:rPr>
              <w:t>A project document is retrieved for the assigned deployment; another project document is excluded.</w:t>
            </w:r>
          </w:p>
        </w:tc>
      </w:tr>
      <w:tr>
        <w:tc>
          <w:tcPr>
            <w:tcW w:type="dxa" w:w="1008"/>
            <w:tcMar>
              <w:top w:w="100" w:type="dxa"/>
              <w:start w:w="120" w:type="dxa"/>
              <w:bottom w:w="100" w:type="dxa"/>
              <w:end w:w="120" w:type="dxa"/>
            </w:tcMar>
            <w:vAlign w:val="center"/>
            <w:shd w:fill="F7F9FC"/>
          </w:tcPr>
          <w:p>
            <w:r>
              <w:rPr>
                <w:color w:val="1F2937"/>
                <w:sz w:val="18"/>
              </w:rPr>
              <w:t>AT-06</w:t>
            </w:r>
          </w:p>
        </w:tc>
        <w:tc>
          <w:tcPr>
            <w:tcW w:type="dxa" w:w="6048"/>
            <w:tcMar>
              <w:top w:w="100" w:type="dxa"/>
              <w:start w:w="120" w:type="dxa"/>
              <w:bottom w:w="100" w:type="dxa"/>
              <w:end w:w="120" w:type="dxa"/>
            </w:tcMar>
            <w:vAlign w:val="center"/>
            <w:shd w:fill="F7F9FC"/>
          </w:tcPr>
          <w:p>
            <w:r>
              <w:rPr>
                <w:color w:val="1F2937"/>
                <w:sz w:val="18"/>
              </w:rPr>
              <w:t>Artifact QA</w:t>
            </w:r>
          </w:p>
        </w:tc>
        <w:tc>
          <w:tcPr>
            <w:tcW w:type="dxa" w:w="2088"/>
            <w:tcMar>
              <w:top w:w="100" w:type="dxa"/>
              <w:start w:w="120" w:type="dxa"/>
              <w:bottom w:w="100" w:type="dxa"/>
              <w:end w:w="120" w:type="dxa"/>
            </w:tcMar>
            <w:vAlign w:val="center"/>
            <w:shd w:fill="F7F9FC"/>
          </w:tcPr>
          <w:p>
            <w:r>
              <w:rPr>
                <w:color w:val="1F2937"/>
                <w:sz w:val="18"/>
              </w:rPr>
              <w:t>Managed template renders DOCX and PDF; failed required field blocks creation.</w:t>
            </w:r>
          </w:p>
        </w:tc>
      </w:tr>
      <w:tr>
        <w:tc>
          <w:tcPr>
            <w:tcW w:type="dxa" w:w="1008"/>
            <w:tcMar>
              <w:top w:w="100" w:type="dxa"/>
              <w:start w:w="120" w:type="dxa"/>
              <w:bottom w:w="100" w:type="dxa"/>
              <w:end w:w="120" w:type="dxa"/>
            </w:tcMar>
            <w:vAlign w:val="center"/>
          </w:tcPr>
          <w:p>
            <w:r>
              <w:rPr>
                <w:color w:val="1F2937"/>
                <w:sz w:val="18"/>
              </w:rPr>
              <w:t>AT-07</w:t>
            </w:r>
          </w:p>
        </w:tc>
        <w:tc>
          <w:tcPr>
            <w:tcW w:type="dxa" w:w="6048"/>
            <w:tcMar>
              <w:top w:w="100" w:type="dxa"/>
              <w:start w:w="120" w:type="dxa"/>
              <w:bottom w:w="100" w:type="dxa"/>
              <w:end w:w="120" w:type="dxa"/>
            </w:tcMar>
            <w:vAlign w:val="center"/>
          </w:tcPr>
          <w:p>
            <w:r>
              <w:rPr>
                <w:color w:val="1F2937"/>
                <w:sz w:val="18"/>
              </w:rPr>
              <w:t>WhatsApp</w:t>
            </w:r>
          </w:p>
        </w:tc>
        <w:tc>
          <w:tcPr>
            <w:tcW w:type="dxa" w:w="2088"/>
            <w:tcMar>
              <w:top w:w="100" w:type="dxa"/>
              <w:start w:w="120" w:type="dxa"/>
              <w:bottom w:w="100" w:type="dxa"/>
              <w:end w:w="120" w:type="dxa"/>
            </w:tcMar>
            <w:vAlign w:val="center"/>
          </w:tcPr>
          <w:p>
            <w:r>
              <w:rPr>
                <w:color w:val="1F2937"/>
                <w:sz w:val="18"/>
              </w:rPr>
              <w:t>Bound group mention creates one message; duplicate inbound ID does not create a second execution; document reply is acknowledged.</w:t>
            </w:r>
          </w:p>
        </w:tc>
      </w:tr>
      <w:tr>
        <w:tc>
          <w:tcPr>
            <w:tcW w:type="dxa" w:w="1008"/>
            <w:tcMar>
              <w:top w:w="100" w:type="dxa"/>
              <w:start w:w="120" w:type="dxa"/>
              <w:bottom w:w="100" w:type="dxa"/>
              <w:end w:w="120" w:type="dxa"/>
            </w:tcMar>
            <w:vAlign w:val="center"/>
            <w:shd w:fill="F7F9FC"/>
          </w:tcPr>
          <w:p>
            <w:r>
              <w:rPr>
                <w:color w:val="1F2937"/>
                <w:sz w:val="18"/>
              </w:rPr>
              <w:t>AT-08</w:t>
            </w:r>
          </w:p>
        </w:tc>
        <w:tc>
          <w:tcPr>
            <w:tcW w:type="dxa" w:w="6048"/>
            <w:tcMar>
              <w:top w:w="100" w:type="dxa"/>
              <w:start w:w="120" w:type="dxa"/>
              <w:bottom w:w="100" w:type="dxa"/>
              <w:end w:w="120" w:type="dxa"/>
            </w:tcMar>
            <w:vAlign w:val="center"/>
            <w:shd w:fill="F7F9FC"/>
          </w:tcPr>
          <w:p>
            <w:r>
              <w:rPr>
                <w:color w:val="1F2937"/>
                <w:sz w:val="18"/>
              </w:rPr>
              <w:t>Restore</w:t>
            </w:r>
          </w:p>
        </w:tc>
        <w:tc>
          <w:tcPr>
            <w:tcW w:type="dxa" w:w="2088"/>
            <w:tcMar>
              <w:top w:w="100" w:type="dxa"/>
              <w:start w:w="120" w:type="dxa"/>
              <w:bottom w:w="100" w:type="dxa"/>
              <w:end w:w="120" w:type="dxa"/>
            </w:tcMar>
            <w:vAlign w:val="center"/>
            <w:shd w:fill="F7F9FC"/>
          </w:tcPr>
          <w:p>
            <w:r>
              <w:rPr>
                <w:color w:val="1F2937"/>
                <w:sz w:val="18"/>
              </w:rPr>
              <w:t>Database and files restore from package; health, revision and retrieval counts match the captured baseline or approved delta.</w:t>
            </w:r>
          </w:p>
        </w:tc>
      </w:tr>
      <w:tr>
        <w:tc>
          <w:tcPr>
            <w:tcW w:type="dxa" w:w="1008"/>
            <w:tcMar>
              <w:top w:w="100" w:type="dxa"/>
              <w:start w:w="120" w:type="dxa"/>
              <w:bottom w:w="100" w:type="dxa"/>
              <w:end w:w="120" w:type="dxa"/>
            </w:tcMar>
            <w:vAlign w:val="center"/>
          </w:tcPr>
          <w:p>
            <w:r>
              <w:rPr>
                <w:color w:val="1F2937"/>
                <w:sz w:val="18"/>
              </w:rPr>
              <w:t>AT-09</w:t>
            </w:r>
          </w:p>
        </w:tc>
        <w:tc>
          <w:tcPr>
            <w:tcW w:type="dxa" w:w="6048"/>
            <w:tcMar>
              <w:top w:w="100" w:type="dxa"/>
              <w:start w:w="120" w:type="dxa"/>
              <w:bottom w:w="100" w:type="dxa"/>
              <w:end w:w="120" w:type="dxa"/>
            </w:tcMar>
            <w:vAlign w:val="center"/>
          </w:tcPr>
          <w:p>
            <w:r>
              <w:rPr>
                <w:color w:val="1F2937"/>
                <w:sz w:val="18"/>
              </w:rPr>
              <w:t>Security negative tests</w:t>
            </w:r>
          </w:p>
        </w:tc>
        <w:tc>
          <w:tcPr>
            <w:tcW w:type="dxa" w:w="2088"/>
            <w:tcMar>
              <w:top w:w="100" w:type="dxa"/>
              <w:start w:w="120" w:type="dxa"/>
              <w:bottom w:w="100" w:type="dxa"/>
              <w:end w:w="120" w:type="dxa"/>
            </w:tcMar>
            <w:vAlign w:val="center"/>
          </w:tcPr>
          <w:p>
            <w:r>
              <w:rPr>
                <w:color w:val="1F2937"/>
                <w:sz w:val="18"/>
              </w:rPr>
              <w:t>Bridge token, project scope, tool allowlist, path containment and approval bypass protections reject invalid requests.</w:t>
            </w:r>
          </w:p>
        </w:tc>
      </w:tr>
    </w:tbl>
    <w:p>
      <w:pPr>
        <w:spacing w:after="40"/>
      </w:pPr>
    </w:p>
    <w:p>
      <w:pPr>
        <w:pStyle w:val="Heading1"/>
      </w:pPr>
      <w:r>
        <w:t>20 Risks and hardening recommendations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88"/>
            <w:shd w:fill="17365D"/>
            <w:tcMar>
              <w:top w:w="100" w:type="dxa"/>
              <w:start w:w="120" w:type="dxa"/>
              <w:bottom w:w="100" w:type="dxa"/>
              <w:end w:w="120" w:type="dxa"/>
            </w:tcMar>
            <w:vAlign w:val="center"/>
          </w:tcPr>
          <w:p>
            <w:pPr>
              <w:jc w:val="center"/>
            </w:pPr>
            <w:r>
              <w:rPr>
                <w:b/>
                <w:color w:val="FFFFFF"/>
                <w:sz w:val="18"/>
              </w:rPr>
              <w:t>Risk</w:t>
            </w:r>
          </w:p>
        </w:tc>
        <w:tc>
          <w:tcPr>
            <w:tcW w:type="dxa" w:w="2736"/>
            <w:shd w:fill="17365D"/>
            <w:tcMar>
              <w:top w:w="100" w:type="dxa"/>
              <w:start w:w="120" w:type="dxa"/>
              <w:bottom w:w="100" w:type="dxa"/>
              <w:end w:w="120" w:type="dxa"/>
            </w:tcMar>
            <w:vAlign w:val="center"/>
          </w:tcPr>
          <w:p>
            <w:pPr>
              <w:jc w:val="center"/>
            </w:pPr>
            <w:r>
              <w:rPr>
                <w:b/>
                <w:color w:val="FFFFFF"/>
                <w:sz w:val="18"/>
              </w:rPr>
              <w:t>Impact</w:t>
            </w:r>
          </w:p>
        </w:tc>
        <w:tc>
          <w:tcPr>
            <w:tcW w:type="dxa" w:w="3672"/>
            <w:shd w:fill="17365D"/>
            <w:tcMar>
              <w:top w:w="100" w:type="dxa"/>
              <w:start w:w="120" w:type="dxa"/>
              <w:bottom w:w="100" w:type="dxa"/>
              <w:end w:w="120" w:type="dxa"/>
            </w:tcMar>
            <w:vAlign w:val="center"/>
          </w:tcPr>
          <w:p>
            <w:pPr>
              <w:jc w:val="center"/>
            </w:pPr>
            <w:r>
              <w:rPr>
                <w:b/>
                <w:color w:val="FFFFFF"/>
                <w:sz w:val="18"/>
              </w:rPr>
              <w:t>Recommendation</w:t>
            </w:r>
          </w:p>
        </w:tc>
        <w:tc>
          <w:tcPr>
            <w:tcW w:type="dxa" w:w="792"/>
            <w:shd w:fill="17365D"/>
            <w:tcMar>
              <w:top w:w="100" w:type="dxa"/>
              <w:start w:w="120" w:type="dxa"/>
              <w:bottom w:w="100" w:type="dxa"/>
              <w:end w:w="120" w:type="dxa"/>
            </w:tcMar>
            <w:vAlign w:val="center"/>
          </w:tcPr>
          <w:p>
            <w:pPr>
              <w:jc w:val="center"/>
            </w:pPr>
            <w:r>
              <w:rPr>
                <w:b/>
                <w:color w:val="FFFFFF"/>
                <w:sz w:val="18"/>
              </w:rPr>
              <w:t>Priority</w:t>
            </w:r>
          </w:p>
        </w:tc>
      </w:tr>
      <w:tr>
        <w:tc>
          <w:tcPr>
            <w:tcW w:type="dxa" w:w="2088"/>
            <w:tcMar>
              <w:top w:w="100" w:type="dxa"/>
              <w:start w:w="120" w:type="dxa"/>
              <w:bottom w:w="100" w:type="dxa"/>
              <w:end w:w="120" w:type="dxa"/>
            </w:tcMar>
            <w:vAlign w:val="center"/>
          </w:tcPr>
          <w:p>
            <w:r>
              <w:rPr>
                <w:color w:val="1F2937"/>
                <w:sz w:val="18"/>
              </w:rPr>
              <w:t>Process-local sessions</w:t>
            </w:r>
          </w:p>
        </w:tc>
        <w:tc>
          <w:tcPr>
            <w:tcW w:type="dxa" w:w="2736"/>
            <w:tcMar>
              <w:top w:w="100" w:type="dxa"/>
              <w:start w:w="120" w:type="dxa"/>
              <w:bottom w:w="100" w:type="dxa"/>
              <w:end w:w="120" w:type="dxa"/>
            </w:tcMar>
            <w:vAlign w:val="center"/>
          </w:tcPr>
          <w:p>
            <w:r>
              <w:rPr>
                <w:color w:val="1F2937"/>
                <w:sz w:val="18"/>
              </w:rPr>
              <w:t>Restart or replica can invalidate sessions and make users appear logged out.</w:t>
            </w:r>
          </w:p>
        </w:tc>
        <w:tc>
          <w:tcPr>
            <w:tcW w:type="dxa" w:w="3672"/>
            <w:tcMar>
              <w:top w:w="100" w:type="dxa"/>
              <w:start w:w="120" w:type="dxa"/>
              <w:bottom w:w="100" w:type="dxa"/>
              <w:end w:w="120" w:type="dxa"/>
            </w:tcMar>
            <w:vAlign w:val="center"/>
          </w:tcPr>
          <w:p>
            <w:r>
              <w:rPr>
                <w:color w:val="1F2937"/>
                <w:sz w:val="18"/>
              </w:rPr>
              <w:t>Use a shared session store before horizontal scaling.</w:t>
            </w:r>
          </w:p>
        </w:tc>
        <w:tc>
          <w:tcPr>
            <w:tcW w:type="dxa" w:w="792"/>
            <w:tcMar>
              <w:top w:w="100" w:type="dxa"/>
              <w:start w:w="120" w:type="dxa"/>
              <w:bottom w:w="100" w:type="dxa"/>
              <w:end w:w="120" w:type="dxa"/>
            </w:tcMar>
            <w:vAlign w:val="center"/>
          </w:tcPr>
          <w:p>
            <w:r>
              <w:rPr>
                <w:color w:val="1F2937"/>
                <w:sz w:val="18"/>
              </w:rPr>
              <w:t>High</w:t>
            </w:r>
          </w:p>
        </w:tc>
      </w:tr>
      <w:tr>
        <w:tc>
          <w:tcPr>
            <w:tcW w:type="dxa" w:w="2088"/>
            <w:tcMar>
              <w:top w:w="100" w:type="dxa"/>
              <w:start w:w="120" w:type="dxa"/>
              <w:bottom w:w="100" w:type="dxa"/>
              <w:end w:w="120" w:type="dxa"/>
            </w:tcMar>
            <w:vAlign w:val="center"/>
            <w:shd w:fill="F7F9FC"/>
          </w:tcPr>
          <w:p>
            <w:r>
              <w:rPr>
                <w:color w:val="1F2937"/>
                <w:sz w:val="18"/>
              </w:rPr>
              <w:t>Optional Hermes adapter secret</w:t>
            </w:r>
          </w:p>
        </w:tc>
        <w:tc>
          <w:tcPr>
            <w:tcW w:type="dxa" w:w="2736"/>
            <w:tcMar>
              <w:top w:w="100" w:type="dxa"/>
              <w:start w:w="120" w:type="dxa"/>
              <w:bottom w:w="100" w:type="dxa"/>
              <w:end w:w="120" w:type="dxa"/>
            </w:tcMar>
            <w:vAlign w:val="center"/>
            <w:shd w:fill="F7F9FC"/>
          </w:tcPr>
          <w:p>
            <w:r>
              <w:rPr>
                <w:color w:val="1F2937"/>
                <w:sz w:val="18"/>
              </w:rPr>
              <w:t>External middleware can be reachable without adapter authentication if secret is empty.</w:t>
            </w:r>
          </w:p>
        </w:tc>
        <w:tc>
          <w:tcPr>
            <w:tcW w:type="dxa" w:w="3672"/>
            <w:tcMar>
              <w:top w:w="100" w:type="dxa"/>
              <w:start w:w="120" w:type="dxa"/>
              <w:bottom w:w="100" w:type="dxa"/>
              <w:end w:w="120" w:type="dxa"/>
            </w:tcMar>
            <w:vAlign w:val="center"/>
            <w:shd w:fill="F7F9FC"/>
          </w:tcPr>
          <w:p>
            <w:r>
              <w:rPr>
                <w:color w:val="1F2937"/>
                <w:sz w:val="18"/>
              </w:rPr>
              <w:t>Set a non-empty secret and bind middleware to loopback/private network.</w:t>
            </w:r>
          </w:p>
        </w:tc>
        <w:tc>
          <w:tcPr>
            <w:tcW w:type="dxa" w:w="792"/>
            <w:tcMar>
              <w:top w:w="100" w:type="dxa"/>
              <w:start w:w="120" w:type="dxa"/>
              <w:bottom w:w="100" w:type="dxa"/>
              <w:end w:w="120" w:type="dxa"/>
            </w:tcMar>
            <w:vAlign w:val="center"/>
            <w:shd w:fill="F7F9FC"/>
          </w:tcPr>
          <w:p>
            <w:r>
              <w:rPr>
                <w:color w:val="1F2937"/>
                <w:sz w:val="18"/>
              </w:rPr>
              <w:t>High</w:t>
            </w:r>
          </w:p>
        </w:tc>
      </w:tr>
      <w:tr>
        <w:tc>
          <w:tcPr>
            <w:tcW w:type="dxa" w:w="2088"/>
            <w:tcMar>
              <w:top w:w="100" w:type="dxa"/>
              <w:start w:w="120" w:type="dxa"/>
              <w:bottom w:w="100" w:type="dxa"/>
              <w:end w:w="120" w:type="dxa"/>
            </w:tcMar>
            <w:vAlign w:val="center"/>
          </w:tcPr>
          <w:p>
            <w:r>
              <w:rPr>
                <w:color w:val="1F2937"/>
                <w:sz w:val="18"/>
              </w:rPr>
              <w:t>Provider SSRF policy</w:t>
            </w:r>
          </w:p>
        </w:tc>
        <w:tc>
          <w:tcPr>
            <w:tcW w:type="dxa" w:w="2736"/>
            <w:tcMar>
              <w:top w:w="100" w:type="dxa"/>
              <w:start w:w="120" w:type="dxa"/>
              <w:bottom w:w="100" w:type="dxa"/>
              <w:end w:w="120" w:type="dxa"/>
            </w:tcMar>
            <w:vAlign w:val="center"/>
          </w:tcPr>
          <w:p>
            <w:r>
              <w:rPr>
                <w:color w:val="1F2937"/>
                <w:sz w:val="18"/>
              </w:rPr>
              <w:t>HTTP(S) validation alone does not deny private or rebinding targets.</w:t>
            </w:r>
          </w:p>
        </w:tc>
        <w:tc>
          <w:tcPr>
            <w:tcW w:type="dxa" w:w="3672"/>
            <w:tcMar>
              <w:top w:w="100" w:type="dxa"/>
              <w:start w:w="120" w:type="dxa"/>
              <w:bottom w:w="100" w:type="dxa"/>
              <w:end w:w="120" w:type="dxa"/>
            </w:tcMar>
            <w:vAlign w:val="center"/>
          </w:tcPr>
          <w:p>
            <w:r>
              <w:rPr>
                <w:color w:val="1F2937"/>
                <w:sz w:val="18"/>
              </w:rPr>
              <w:t>Enforce DNS/IP egress policy in reverse proxy or network layer.</w:t>
            </w:r>
          </w:p>
        </w:tc>
        <w:tc>
          <w:tcPr>
            <w:tcW w:type="dxa" w:w="792"/>
            <w:tcMar>
              <w:top w:w="100" w:type="dxa"/>
              <w:start w:w="120" w:type="dxa"/>
              <w:bottom w:w="100" w:type="dxa"/>
              <w:end w:w="120" w:type="dxa"/>
            </w:tcMar>
            <w:vAlign w:val="center"/>
          </w:tcPr>
          <w:p>
            <w:r>
              <w:rPr>
                <w:color w:val="1F2937"/>
                <w:sz w:val="18"/>
              </w:rPr>
              <w:t>High</w:t>
            </w:r>
          </w:p>
        </w:tc>
      </w:tr>
      <w:tr>
        <w:tc>
          <w:tcPr>
            <w:tcW w:type="dxa" w:w="2088"/>
            <w:tcMar>
              <w:top w:w="100" w:type="dxa"/>
              <w:start w:w="120" w:type="dxa"/>
              <w:bottom w:w="100" w:type="dxa"/>
              <w:end w:w="120" w:type="dxa"/>
            </w:tcMar>
            <w:vAlign w:val="center"/>
            <w:shd w:fill="F7F9FC"/>
          </w:tcPr>
          <w:p>
            <w:r>
              <w:rPr>
                <w:color w:val="1F2937"/>
                <w:sz w:val="18"/>
              </w:rPr>
              <w:t>Multipart upload quota</w:t>
            </w:r>
          </w:p>
        </w:tc>
        <w:tc>
          <w:tcPr>
            <w:tcW w:type="dxa" w:w="2736"/>
            <w:tcMar>
              <w:top w:w="100" w:type="dxa"/>
              <w:start w:w="120" w:type="dxa"/>
              <w:bottom w:w="100" w:type="dxa"/>
              <w:end w:w="120" w:type="dxa"/>
            </w:tcMar>
            <w:vAlign w:val="center"/>
            <w:shd w:fill="F7F9FC"/>
          </w:tcPr>
          <w:p>
            <w:r>
              <w:rPr>
                <w:color w:val="1F2937"/>
                <w:sz w:val="18"/>
              </w:rPr>
              <w:t>Large multipart files could consume disk or processing capacity.</w:t>
            </w:r>
          </w:p>
        </w:tc>
        <w:tc>
          <w:tcPr>
            <w:tcW w:type="dxa" w:w="3672"/>
            <w:tcMar>
              <w:top w:w="100" w:type="dxa"/>
              <w:start w:w="120" w:type="dxa"/>
              <w:bottom w:w="100" w:type="dxa"/>
              <w:end w:w="120" w:type="dxa"/>
            </w:tcMar>
            <w:vAlign w:val="center"/>
            <w:shd w:fill="F7F9FC"/>
          </w:tcPr>
          <w:p>
            <w:r>
              <w:rPr>
                <w:color w:val="1F2937"/>
                <w:sz w:val="18"/>
              </w:rPr>
              <w:t>Add per-file and aggregate quotas plus content-type and timeout controls.</w:t>
            </w:r>
          </w:p>
        </w:tc>
        <w:tc>
          <w:tcPr>
            <w:tcW w:type="dxa" w:w="792"/>
            <w:tcMar>
              <w:top w:w="100" w:type="dxa"/>
              <w:start w:w="120" w:type="dxa"/>
              <w:bottom w:w="100" w:type="dxa"/>
              <w:end w:w="120" w:type="dxa"/>
            </w:tcMar>
            <w:vAlign w:val="center"/>
            <w:shd w:fill="F7F9FC"/>
          </w:tcPr>
          <w:p>
            <w:r>
              <w:rPr>
                <w:color w:val="1F2937"/>
                <w:sz w:val="18"/>
              </w:rPr>
              <w:t>High</w:t>
            </w:r>
          </w:p>
        </w:tc>
      </w:tr>
      <w:tr>
        <w:tc>
          <w:tcPr>
            <w:tcW w:type="dxa" w:w="2088"/>
            <w:tcMar>
              <w:top w:w="100" w:type="dxa"/>
              <w:start w:w="120" w:type="dxa"/>
              <w:bottom w:w="100" w:type="dxa"/>
              <w:end w:w="120" w:type="dxa"/>
            </w:tcMar>
            <w:vAlign w:val="center"/>
          </w:tcPr>
          <w:p>
            <w:r>
              <w:rPr>
                <w:color w:val="1F2937"/>
                <w:sz w:val="18"/>
              </w:rPr>
              <w:t>CSRF and login abuse</w:t>
            </w:r>
          </w:p>
        </w:tc>
        <w:tc>
          <w:tcPr>
            <w:tcW w:type="dxa" w:w="2736"/>
            <w:tcMar>
              <w:top w:w="100" w:type="dxa"/>
              <w:start w:w="120" w:type="dxa"/>
              <w:bottom w:w="100" w:type="dxa"/>
              <w:end w:w="120" w:type="dxa"/>
            </w:tcMar>
            <w:vAlign w:val="center"/>
          </w:tcPr>
          <w:p>
            <w:r>
              <w:rPr>
                <w:color w:val="1F2937"/>
                <w:sz w:val="18"/>
              </w:rPr>
              <w:t>Cookie-authenticated state changes require browser threat controls.</w:t>
            </w:r>
          </w:p>
        </w:tc>
        <w:tc>
          <w:tcPr>
            <w:tcW w:type="dxa" w:w="3672"/>
            <w:tcMar>
              <w:top w:w="100" w:type="dxa"/>
              <w:start w:w="120" w:type="dxa"/>
              <w:bottom w:w="100" w:type="dxa"/>
              <w:end w:w="120" w:type="dxa"/>
            </w:tcMar>
            <w:vAlign w:val="center"/>
          </w:tcPr>
          <w:p>
            <w:r>
              <w:rPr>
                <w:color w:val="1F2937"/>
                <w:sz w:val="18"/>
              </w:rPr>
              <w:t>Add CSRF tokens and login rate limiting before internet exposure.</w:t>
            </w:r>
          </w:p>
        </w:tc>
        <w:tc>
          <w:tcPr>
            <w:tcW w:type="dxa" w:w="792"/>
            <w:tcMar>
              <w:top w:w="100" w:type="dxa"/>
              <w:start w:w="120" w:type="dxa"/>
              <w:bottom w:w="100" w:type="dxa"/>
              <w:end w:w="120" w:type="dxa"/>
            </w:tcMar>
            <w:vAlign w:val="center"/>
          </w:tcPr>
          <w:p>
            <w:r>
              <w:rPr>
                <w:color w:val="1F2937"/>
                <w:sz w:val="18"/>
              </w:rPr>
              <w:t>High</w:t>
            </w:r>
          </w:p>
        </w:tc>
      </w:tr>
      <w:tr>
        <w:tc>
          <w:tcPr>
            <w:tcW w:type="dxa" w:w="2088"/>
            <w:tcMar>
              <w:top w:w="100" w:type="dxa"/>
              <w:start w:w="120" w:type="dxa"/>
              <w:bottom w:w="100" w:type="dxa"/>
              <w:end w:w="120" w:type="dxa"/>
            </w:tcMar>
            <w:vAlign w:val="center"/>
            <w:shd w:fill="F7F9FC"/>
          </w:tcPr>
          <w:p>
            <w:r>
              <w:rPr>
                <w:color w:val="1F2937"/>
                <w:sz w:val="18"/>
              </w:rPr>
              <w:t>Runtime credentials</w:t>
            </w:r>
          </w:p>
        </w:tc>
        <w:tc>
          <w:tcPr>
            <w:tcW w:type="dxa" w:w="2736"/>
            <w:tcMar>
              <w:top w:w="100" w:type="dxa"/>
              <w:start w:w="120" w:type="dxa"/>
              <w:bottom w:w="100" w:type="dxa"/>
              <w:end w:w="120" w:type="dxa"/>
            </w:tcMar>
            <w:vAlign w:val="center"/>
            <w:shd w:fill="F7F9FC"/>
          </w:tcPr>
          <w:p>
            <w:r>
              <w:rPr>
                <w:color w:val="1F2937"/>
                <w:sz w:val="18"/>
              </w:rPr>
              <w:t>WhatsApp creds and connector keys are sensitive operational state.</w:t>
            </w:r>
          </w:p>
        </w:tc>
        <w:tc>
          <w:tcPr>
            <w:tcW w:type="dxa" w:w="3672"/>
            <w:tcMar>
              <w:top w:w="100" w:type="dxa"/>
              <w:start w:w="120" w:type="dxa"/>
              <w:bottom w:w="100" w:type="dxa"/>
              <w:end w:w="120" w:type="dxa"/>
            </w:tcMar>
            <w:vAlign w:val="center"/>
            <w:shd w:fill="F7F9FC"/>
          </w:tcPr>
          <w:p>
            <w:r>
              <w:rPr>
                <w:color w:val="1F2937"/>
                <w:sz w:val="18"/>
              </w:rPr>
              <w:t>Use protected storage, rotation, least privilege and backup encryption.</w:t>
            </w:r>
          </w:p>
        </w:tc>
        <w:tc>
          <w:tcPr>
            <w:tcW w:type="dxa" w:w="792"/>
            <w:tcMar>
              <w:top w:w="100" w:type="dxa"/>
              <w:start w:w="120" w:type="dxa"/>
              <w:bottom w:w="100" w:type="dxa"/>
              <w:end w:w="120" w:type="dxa"/>
            </w:tcMar>
            <w:vAlign w:val="center"/>
            <w:shd w:fill="F7F9FC"/>
          </w:tcPr>
          <w:p>
            <w:r>
              <w:rPr>
                <w:color w:val="1F2937"/>
                <w:sz w:val="18"/>
              </w:rPr>
              <w:t>High</w:t>
            </w:r>
          </w:p>
        </w:tc>
      </w:tr>
      <w:tr>
        <w:tc>
          <w:tcPr>
            <w:tcW w:type="dxa" w:w="2088"/>
            <w:tcMar>
              <w:top w:w="100" w:type="dxa"/>
              <w:start w:w="120" w:type="dxa"/>
              <w:bottom w:w="100" w:type="dxa"/>
              <w:end w:w="120" w:type="dxa"/>
            </w:tcMar>
            <w:vAlign w:val="center"/>
          </w:tcPr>
          <w:p>
            <w:r>
              <w:rPr>
                <w:color w:val="1F2937"/>
                <w:sz w:val="18"/>
              </w:rPr>
              <w:t>LibreOffice dependency</w:t>
            </w:r>
          </w:p>
        </w:tc>
        <w:tc>
          <w:tcPr>
            <w:tcW w:type="dxa" w:w="2736"/>
            <w:tcMar>
              <w:top w:w="100" w:type="dxa"/>
              <w:start w:w="120" w:type="dxa"/>
              <w:bottom w:w="100" w:type="dxa"/>
              <w:end w:w="120" w:type="dxa"/>
            </w:tcMar>
            <w:vAlign w:val="center"/>
          </w:tcPr>
          <w:p>
            <w:r>
              <w:rPr>
                <w:color w:val="1F2937"/>
                <w:sz w:val="18"/>
              </w:rPr>
              <w:t>Artifact PDF conversion fails if the runtime package is incomplete.</w:t>
            </w:r>
          </w:p>
        </w:tc>
        <w:tc>
          <w:tcPr>
            <w:tcW w:type="dxa" w:w="3672"/>
            <w:tcMar>
              <w:top w:w="100" w:type="dxa"/>
              <w:start w:w="120" w:type="dxa"/>
              <w:bottom w:w="100" w:type="dxa"/>
              <w:end w:w="120" w:type="dxa"/>
            </w:tcMar>
            <w:vAlign w:val="center"/>
          </w:tcPr>
          <w:p>
            <w:r>
              <w:rPr>
                <w:color w:val="1F2937"/>
                <w:sz w:val="18"/>
              </w:rPr>
              <w:t>Keep the bundled image and include conversion smoke test in deployment acceptance.</w:t>
            </w:r>
          </w:p>
        </w:tc>
        <w:tc>
          <w:tcPr>
            <w:tcW w:type="dxa" w:w="792"/>
            <w:tcMar>
              <w:top w:w="100" w:type="dxa"/>
              <w:start w:w="120" w:type="dxa"/>
              <w:bottom w:w="100" w:type="dxa"/>
              <w:end w:w="120" w:type="dxa"/>
            </w:tcMar>
            <w:vAlign w:val="center"/>
          </w:tcPr>
          <w:p>
            <w:r>
              <w:rPr>
                <w:color w:val="1F2937"/>
                <w:sz w:val="18"/>
              </w:rPr>
              <w:t>Medium</w:t>
            </w:r>
          </w:p>
        </w:tc>
      </w:tr>
      <w:tr>
        <w:tc>
          <w:tcPr>
            <w:tcW w:type="dxa" w:w="2088"/>
            <w:tcMar>
              <w:top w:w="100" w:type="dxa"/>
              <w:start w:w="120" w:type="dxa"/>
              <w:bottom w:w="100" w:type="dxa"/>
              <w:end w:w="120" w:type="dxa"/>
            </w:tcMar>
            <w:vAlign w:val="center"/>
            <w:shd w:fill="F7F9FC"/>
          </w:tcPr>
          <w:p>
            <w:r>
              <w:rPr>
                <w:color w:val="1F2937"/>
                <w:sz w:val="18"/>
              </w:rPr>
              <w:t>Reference Hermes mode</w:t>
            </w:r>
          </w:p>
        </w:tc>
        <w:tc>
          <w:tcPr>
            <w:tcW w:type="dxa" w:w="2736"/>
            <w:tcMar>
              <w:top w:w="100" w:type="dxa"/>
              <w:start w:w="120" w:type="dxa"/>
              <w:bottom w:w="100" w:type="dxa"/>
              <w:end w:w="120" w:type="dxa"/>
            </w:tcMar>
            <w:vAlign w:val="center"/>
            <w:shd w:fill="F7F9FC"/>
          </w:tcPr>
          <w:p>
            <w:r>
              <w:rPr>
                <w:color w:val="1F2937"/>
                <w:sz w:val="18"/>
              </w:rPr>
              <w:t>Reference mode is intentionally non-executing.</w:t>
            </w:r>
          </w:p>
        </w:tc>
        <w:tc>
          <w:tcPr>
            <w:tcW w:type="dxa" w:w="3672"/>
            <w:tcMar>
              <w:top w:w="100" w:type="dxa"/>
              <w:start w:w="120" w:type="dxa"/>
              <w:bottom w:w="100" w:type="dxa"/>
              <w:end w:w="120" w:type="dxa"/>
            </w:tcMar>
            <w:vAlign w:val="center"/>
            <w:shd w:fill="F7F9FC"/>
          </w:tcPr>
          <w:p>
            <w:r>
              <w:rPr>
                <w:color w:val="1F2937"/>
                <w:sz w:val="18"/>
              </w:rPr>
              <w:t>Document it as a stub and select local-cli or external for production.</w:t>
            </w:r>
          </w:p>
        </w:tc>
        <w:tc>
          <w:tcPr>
            <w:tcW w:type="dxa" w:w="792"/>
            <w:tcMar>
              <w:top w:w="100" w:type="dxa"/>
              <w:start w:w="120" w:type="dxa"/>
              <w:bottom w:w="100" w:type="dxa"/>
              <w:end w:w="120" w:type="dxa"/>
            </w:tcMar>
            <w:vAlign w:val="center"/>
            <w:shd w:fill="F7F9FC"/>
          </w:tcPr>
          <w:p>
            <w:r>
              <w:rPr>
                <w:color w:val="1F2937"/>
                <w:sz w:val="18"/>
              </w:rPr>
              <w:t>Medium</w:t>
            </w:r>
          </w:p>
        </w:tc>
      </w:tr>
      <w:tr>
        <w:tc>
          <w:tcPr>
            <w:tcW w:type="dxa" w:w="2088"/>
            <w:tcMar>
              <w:top w:w="100" w:type="dxa"/>
              <w:start w:w="120" w:type="dxa"/>
              <w:bottom w:w="100" w:type="dxa"/>
              <w:end w:w="120" w:type="dxa"/>
            </w:tcMar>
            <w:vAlign w:val="center"/>
          </w:tcPr>
          <w:p>
            <w:r>
              <w:rPr>
                <w:color w:val="1F2937"/>
                <w:sz w:val="18"/>
              </w:rPr>
              <w:t>Operational audit retention</w:t>
            </w:r>
          </w:p>
        </w:tc>
        <w:tc>
          <w:tcPr>
            <w:tcW w:type="dxa" w:w="2736"/>
            <w:tcMar>
              <w:top w:w="100" w:type="dxa"/>
              <w:start w:w="120" w:type="dxa"/>
              <w:bottom w:w="100" w:type="dxa"/>
              <w:end w:w="120" w:type="dxa"/>
            </w:tcMar>
            <w:vAlign w:val="center"/>
          </w:tcPr>
          <w:p>
            <w:r>
              <w:rPr>
                <w:color w:val="1F2937"/>
                <w:sz w:val="18"/>
              </w:rPr>
              <w:t>Application activity is not automatically immutable/WORM.</w:t>
            </w:r>
          </w:p>
        </w:tc>
        <w:tc>
          <w:tcPr>
            <w:tcW w:type="dxa" w:w="3672"/>
            <w:tcMar>
              <w:top w:w="100" w:type="dxa"/>
              <w:start w:w="120" w:type="dxa"/>
              <w:bottom w:w="100" w:type="dxa"/>
              <w:end w:w="120" w:type="dxa"/>
            </w:tcMar>
            <w:vAlign w:val="center"/>
          </w:tcPr>
          <w:p>
            <w:r>
              <w:rPr>
                <w:color w:val="1F2937"/>
                <w:sz w:val="18"/>
              </w:rPr>
              <w:t>Export and retain audit records under receiver policy.</w:t>
            </w:r>
          </w:p>
        </w:tc>
        <w:tc>
          <w:tcPr>
            <w:tcW w:type="dxa" w:w="792"/>
            <w:tcMar>
              <w:top w:w="100" w:type="dxa"/>
              <w:start w:w="120" w:type="dxa"/>
              <w:bottom w:w="100" w:type="dxa"/>
              <w:end w:w="120" w:type="dxa"/>
            </w:tcMar>
            <w:vAlign w:val="center"/>
          </w:tcPr>
          <w:p>
            <w:r>
              <w:rPr>
                <w:color w:val="1F2937"/>
                <w:sz w:val="18"/>
              </w:rPr>
              <w:t>Medium</w:t>
            </w:r>
          </w:p>
        </w:tc>
      </w:tr>
    </w:tbl>
    <w:p>
      <w:pPr>
        <w:spacing w:after="40"/>
      </w:pPr>
    </w:p>
    <w:p>
      <w:pPr>
        <w:pStyle w:val="Heading1"/>
      </w:pPr>
      <w:r>
        <w:t>21 Traceability to source files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65D"/>
            <w:tcMar>
              <w:top w:w="100" w:type="dxa"/>
              <w:start w:w="120" w:type="dxa"/>
              <w:bottom w:w="100" w:type="dxa"/>
              <w:end w:w="120" w:type="dxa"/>
            </w:tcMar>
            <w:vAlign w:val="center"/>
          </w:tcPr>
          <w:p>
            <w:pPr>
              <w:jc w:val="center"/>
            </w:pPr>
            <w:r>
              <w:rPr>
                <w:b/>
                <w:color w:val="FFFFFF"/>
                <w:sz w:val="18"/>
              </w:rPr>
              <w:t>Design topic</w:t>
            </w:r>
          </w:p>
        </w:tc>
        <w:tc>
          <w:tcPr>
            <w:tcW w:type="dxa" w:w="6120"/>
            <w:shd w:fill="17365D"/>
            <w:tcMar>
              <w:top w:w="100" w:type="dxa"/>
              <w:start w:w="120" w:type="dxa"/>
              <w:bottom w:w="100" w:type="dxa"/>
              <w:end w:w="120" w:type="dxa"/>
            </w:tcMar>
            <w:vAlign w:val="center"/>
          </w:tcPr>
          <w:p>
            <w:pPr>
              <w:jc w:val="center"/>
            </w:pPr>
            <w:r>
              <w:rPr>
                <w:b/>
                <w:color w:val="FFFFFF"/>
                <w:sz w:val="18"/>
              </w:rPr>
              <w:t>Primary implementation reference</w:t>
            </w:r>
          </w:p>
        </w:tc>
      </w:tr>
      <w:tr>
        <w:tc>
          <w:tcPr>
            <w:tcW w:type="dxa" w:w="3168"/>
            <w:tcMar>
              <w:top w:w="100" w:type="dxa"/>
              <w:start w:w="120" w:type="dxa"/>
              <w:bottom w:w="100" w:type="dxa"/>
              <w:end w:w="120" w:type="dxa"/>
            </w:tcMar>
            <w:vAlign w:val="center"/>
          </w:tcPr>
          <w:p>
            <w:r>
              <w:rPr>
                <w:color w:val="1F2937"/>
                <w:sz w:val="18"/>
              </w:rPr>
              <w:t>Browser modules and navigation</w:t>
            </w:r>
          </w:p>
        </w:tc>
        <w:tc>
          <w:tcPr>
            <w:tcW w:type="dxa" w:w="6120"/>
            <w:tcMar>
              <w:top w:w="100" w:type="dxa"/>
              <w:start w:w="120" w:type="dxa"/>
              <w:bottom w:w="100" w:type="dxa"/>
              <w:end w:w="120" w:type="dxa"/>
            </w:tcMar>
            <w:vAlign w:val="center"/>
          </w:tcPr>
          <w:p>
            <w:r>
              <w:rPr>
                <w:color w:val="1F2937"/>
                <w:sz w:val="18"/>
              </w:rPr>
              <w:t>apps/control-plane/public/app.js and styles.css</w:t>
            </w:r>
          </w:p>
        </w:tc>
      </w:tr>
      <w:tr>
        <w:tc>
          <w:tcPr>
            <w:tcW w:type="dxa" w:w="3168"/>
            <w:tcMar>
              <w:top w:w="100" w:type="dxa"/>
              <w:start w:w="120" w:type="dxa"/>
              <w:bottom w:w="100" w:type="dxa"/>
              <w:end w:w="120" w:type="dxa"/>
            </w:tcMar>
            <w:vAlign w:val="center"/>
            <w:shd w:fill="F7F9FC"/>
          </w:tcPr>
          <w:p>
            <w:r>
              <w:rPr>
                <w:color w:val="1F2937"/>
                <w:sz w:val="18"/>
              </w:rPr>
              <w:t>HTTP routes, sessions, RBAC, message and artifact orchestration</w:t>
            </w:r>
          </w:p>
        </w:tc>
        <w:tc>
          <w:tcPr>
            <w:tcW w:type="dxa" w:w="6120"/>
            <w:tcMar>
              <w:top w:w="100" w:type="dxa"/>
              <w:start w:w="120" w:type="dxa"/>
              <w:bottom w:w="100" w:type="dxa"/>
              <w:end w:w="120" w:type="dxa"/>
            </w:tcMar>
            <w:vAlign w:val="center"/>
            <w:shd w:fill="F7F9FC"/>
          </w:tcPr>
          <w:p>
            <w:r>
              <w:rPr>
                <w:color w:val="1F2937"/>
                <w:sz w:val="18"/>
              </w:rPr>
              <w:t>apps/control-plane/src/server.js</w:t>
            </w:r>
          </w:p>
        </w:tc>
      </w:tr>
      <w:tr>
        <w:tc>
          <w:tcPr>
            <w:tcW w:type="dxa" w:w="3168"/>
            <w:tcMar>
              <w:top w:w="100" w:type="dxa"/>
              <w:start w:w="120" w:type="dxa"/>
              <w:bottom w:w="100" w:type="dxa"/>
              <w:end w:w="120" w:type="dxa"/>
            </w:tcMar>
            <w:vAlign w:val="center"/>
          </w:tcPr>
          <w:p>
            <w:r>
              <w:rPr>
                <w:color w:val="1F2937"/>
                <w:sz w:val="18"/>
              </w:rPr>
              <w:t>Persistence and retrieval storage</w:t>
            </w:r>
          </w:p>
        </w:tc>
        <w:tc>
          <w:tcPr>
            <w:tcW w:type="dxa" w:w="6120"/>
            <w:tcMar>
              <w:top w:w="100" w:type="dxa"/>
              <w:start w:w="120" w:type="dxa"/>
              <w:bottom w:w="100" w:type="dxa"/>
              <w:end w:w="120" w:type="dxa"/>
            </w:tcMar>
            <w:vAlign w:val="center"/>
          </w:tcPr>
          <w:p>
            <w:r>
              <w:rPr>
                <w:color w:val="1F2937"/>
                <w:sz w:val="18"/>
              </w:rPr>
              <w:t>apps/control-plane/src/store.js and retrieval-index.js</w:t>
            </w:r>
          </w:p>
        </w:tc>
      </w:tr>
      <w:tr>
        <w:tc>
          <w:tcPr>
            <w:tcW w:type="dxa" w:w="3168"/>
            <w:tcMar>
              <w:top w:w="100" w:type="dxa"/>
              <w:start w:w="120" w:type="dxa"/>
              <w:bottom w:w="100" w:type="dxa"/>
              <w:end w:w="120" w:type="dxa"/>
            </w:tcMar>
            <w:vAlign w:val="center"/>
            <w:shd w:fill="F7F9FC"/>
          </w:tcPr>
          <w:p>
            <w:r>
              <w:rPr>
                <w:color w:val="1F2937"/>
                <w:sz w:val="18"/>
              </w:rPr>
              <w:t>Password and connector secret handling</w:t>
            </w:r>
          </w:p>
        </w:tc>
        <w:tc>
          <w:tcPr>
            <w:tcW w:type="dxa" w:w="6120"/>
            <w:tcMar>
              <w:top w:w="100" w:type="dxa"/>
              <w:start w:w="120" w:type="dxa"/>
              <w:bottom w:w="100" w:type="dxa"/>
              <w:end w:w="120" w:type="dxa"/>
            </w:tcMar>
            <w:vAlign w:val="center"/>
            <w:shd w:fill="F7F9FC"/>
          </w:tcPr>
          <w:p>
            <w:r>
              <w:rPr>
                <w:color w:val="1F2937"/>
                <w:sz w:val="18"/>
              </w:rPr>
              <w:t>apps/control-plane/src/security.js</w:t>
            </w:r>
          </w:p>
        </w:tc>
      </w:tr>
      <w:tr>
        <w:tc>
          <w:tcPr>
            <w:tcW w:type="dxa" w:w="3168"/>
            <w:tcMar>
              <w:top w:w="100" w:type="dxa"/>
              <w:start w:w="120" w:type="dxa"/>
              <w:bottom w:w="100" w:type="dxa"/>
              <w:end w:w="120" w:type="dxa"/>
            </w:tcMar>
            <w:vAlign w:val="center"/>
          </w:tcPr>
          <w:p>
            <w:r>
              <w:rPr>
                <w:color w:val="1F2937"/>
                <w:sz w:val="18"/>
              </w:rPr>
              <w:t>Direct and Hermes execution</w:t>
            </w:r>
          </w:p>
        </w:tc>
        <w:tc>
          <w:tcPr>
            <w:tcW w:type="dxa" w:w="6120"/>
            <w:tcMar>
              <w:top w:w="100" w:type="dxa"/>
              <w:start w:w="120" w:type="dxa"/>
              <w:bottom w:w="100" w:type="dxa"/>
              <w:end w:w="120" w:type="dxa"/>
            </w:tcMar>
            <w:vAlign w:val="center"/>
          </w:tcPr>
          <w:p>
            <w:r>
              <w:rPr>
                <w:color w:val="1F2937"/>
                <w:sz w:val="18"/>
              </w:rPr>
              <w:t>apps/control-plane/src/agent-execution.mjs, hermes-agent-middleware.mjs, hermes-cli-adapter.mjs</w:t>
            </w:r>
          </w:p>
        </w:tc>
      </w:tr>
      <w:tr>
        <w:tc>
          <w:tcPr>
            <w:tcW w:type="dxa" w:w="3168"/>
            <w:tcMar>
              <w:top w:w="100" w:type="dxa"/>
              <w:start w:w="120" w:type="dxa"/>
              <w:bottom w:w="100" w:type="dxa"/>
              <w:end w:w="120" w:type="dxa"/>
            </w:tcMar>
            <w:vAlign w:val="center"/>
            <w:shd w:fill="F7F9FC"/>
          </w:tcPr>
          <w:p>
            <w:r>
              <w:rPr>
                <w:color w:val="1F2937"/>
                <w:sz w:val="18"/>
              </w:rPr>
              <w:t>WhatsApp pairing and bridge</w:t>
            </w:r>
          </w:p>
        </w:tc>
        <w:tc>
          <w:tcPr>
            <w:tcW w:type="dxa" w:w="6120"/>
            <w:tcMar>
              <w:top w:w="100" w:type="dxa"/>
              <w:start w:w="120" w:type="dxa"/>
              <w:bottom w:w="100" w:type="dxa"/>
              <w:end w:w="120" w:type="dxa"/>
            </w:tcMar>
            <w:vAlign w:val="center"/>
            <w:shd w:fill="F7F9FC"/>
          </w:tcPr>
          <w:p>
            <w:r>
              <w:rPr>
                <w:color w:val="1F2937"/>
                <w:sz w:val="18"/>
              </w:rPr>
              <w:t>whatsapp-pair.mjs, project-whatsapp-bridge.mjs, hermes-bot-runtime.mjs, whatsapp-message-policy.mjs</w:t>
            </w:r>
          </w:p>
        </w:tc>
      </w:tr>
      <w:tr>
        <w:tc>
          <w:tcPr>
            <w:tcW w:type="dxa" w:w="3168"/>
            <w:tcMar>
              <w:top w:w="100" w:type="dxa"/>
              <w:start w:w="120" w:type="dxa"/>
              <w:bottom w:w="100" w:type="dxa"/>
              <w:end w:w="120" w:type="dxa"/>
            </w:tcMar>
            <w:vAlign w:val="center"/>
          </w:tcPr>
          <w:p>
            <w:r>
              <w:rPr>
                <w:color w:val="1F2937"/>
                <w:sz w:val="18"/>
              </w:rPr>
              <w:t>Message lifecycle and report QA</w:t>
            </w:r>
          </w:p>
        </w:tc>
        <w:tc>
          <w:tcPr>
            <w:tcW w:type="dxa" w:w="6120"/>
            <w:tcMar>
              <w:top w:w="100" w:type="dxa"/>
              <w:start w:w="120" w:type="dxa"/>
              <w:bottom w:w="100" w:type="dxa"/>
              <w:end w:w="120" w:type="dxa"/>
            </w:tcMar>
            <w:vAlign w:val="center"/>
          </w:tcPr>
          <w:p>
            <w:r>
              <w:rPr>
                <w:color w:val="1F2937"/>
                <w:sz w:val="18"/>
              </w:rPr>
              <w:t>packages/domain/agent-contracts.mjs and report-qa.mjs</w:t>
            </w:r>
          </w:p>
        </w:tc>
      </w:tr>
      <w:tr>
        <w:tc>
          <w:tcPr>
            <w:tcW w:type="dxa" w:w="3168"/>
            <w:tcMar>
              <w:top w:w="100" w:type="dxa"/>
              <w:start w:w="120" w:type="dxa"/>
              <w:bottom w:w="100" w:type="dxa"/>
              <w:end w:w="120" w:type="dxa"/>
            </w:tcMar>
            <w:vAlign w:val="center"/>
            <w:shd w:fill="F7F9FC"/>
          </w:tcPr>
          <w:p>
            <w:r>
              <w:rPr>
                <w:color w:val="1F2937"/>
                <w:sz w:val="18"/>
              </w:rPr>
              <w:t>Docker runtime</w:t>
            </w:r>
          </w:p>
        </w:tc>
        <w:tc>
          <w:tcPr>
            <w:tcW w:type="dxa" w:w="6120"/>
            <w:tcMar>
              <w:top w:w="100" w:type="dxa"/>
              <w:start w:w="120" w:type="dxa"/>
              <w:bottom w:w="100" w:type="dxa"/>
              <w:end w:w="120" w:type="dxa"/>
            </w:tcMar>
            <w:vAlign w:val="center"/>
            <w:shd w:fill="F7F9FC"/>
          </w:tcPr>
          <w:p>
            <w:r>
              <w:rPr>
                <w:color w:val="1F2937"/>
                <w:sz w:val="18"/>
              </w:rPr>
              <w:t>Dockerfile, compose.yaml and 02-docker-preserved/docker</w:t>
            </w:r>
          </w:p>
        </w:tc>
      </w:tr>
      <w:tr>
        <w:tc>
          <w:tcPr>
            <w:tcW w:type="dxa" w:w="3168"/>
            <w:tcMar>
              <w:top w:w="100" w:type="dxa"/>
              <w:start w:w="120" w:type="dxa"/>
              <w:bottom w:w="100" w:type="dxa"/>
              <w:end w:w="120" w:type="dxa"/>
            </w:tcMar>
            <w:vAlign w:val="center"/>
          </w:tcPr>
          <w:p>
            <w:r>
              <w:rPr>
                <w:color w:val="1F2937"/>
                <w:sz w:val="18"/>
              </w:rPr>
              <w:t>Handover recovery</w:t>
            </w:r>
          </w:p>
        </w:tc>
        <w:tc>
          <w:tcPr>
            <w:tcW w:type="dxa" w:w="6120"/>
            <w:tcMar>
              <w:top w:w="100" w:type="dxa"/>
              <w:start w:w="120" w:type="dxa"/>
              <w:bottom w:w="100" w:type="dxa"/>
              <w:end w:w="120" w:type="dxa"/>
            </w:tcMar>
            <w:vAlign w:val="center"/>
          </w:tcPr>
          <w:p>
            <w:r>
              <w:rPr>
                <w:color w:val="1F2937"/>
                <w:sz w:val="18"/>
              </w:rPr>
              <w:t>02-docker-preserved/HANDOVER.md, RESTORE.md, scripts and archives</w:t>
            </w:r>
          </w:p>
        </w:tc>
      </w:tr>
    </w:tbl>
    <w:p>
      <w:pPr>
        <w:spacing w:after="40"/>
      </w:pPr>
    </w:p>
    <w:p>
      <w:pPr>
        <w:pStyle w:val="Heading1"/>
      </w:pPr>
      <w:r>
        <w:t>22 Diagram index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shd w:fill="17365D"/>
            <w:tcMar>
              <w:top w:w="100" w:type="dxa"/>
              <w:start w:w="120" w:type="dxa"/>
              <w:bottom w:w="100" w:type="dxa"/>
              <w:end w:w="120" w:type="dxa"/>
            </w:tcMar>
            <w:vAlign w:val="center"/>
          </w:tcPr>
          <w:p>
            <w:pPr>
              <w:jc w:val="center"/>
            </w:pPr>
            <w:r>
              <w:rPr>
                <w:b/>
                <w:color w:val="FFFFFF"/>
                <w:sz w:val="18"/>
              </w:rPr>
              <w:t>Figure</w:t>
            </w:r>
          </w:p>
        </w:tc>
        <w:tc>
          <w:tcPr>
            <w:tcW w:type="dxa" w:w="3888"/>
            <w:shd w:fill="17365D"/>
            <w:tcMar>
              <w:top w:w="100" w:type="dxa"/>
              <w:start w:w="120" w:type="dxa"/>
              <w:bottom w:w="100" w:type="dxa"/>
              <w:end w:w="120" w:type="dxa"/>
            </w:tcMar>
            <w:vAlign w:val="center"/>
          </w:tcPr>
          <w:p>
            <w:pPr>
              <w:jc w:val="center"/>
            </w:pPr>
            <w:r>
              <w:rPr>
                <w:b/>
                <w:color w:val="FFFFFF"/>
                <w:sz w:val="18"/>
              </w:rPr>
              <w:t>Diagram</w:t>
            </w:r>
          </w:p>
        </w:tc>
        <w:tc>
          <w:tcPr>
            <w:tcW w:type="dxa" w:w="4392"/>
            <w:shd w:fill="17365D"/>
            <w:tcMar>
              <w:top w:w="100" w:type="dxa"/>
              <w:start w:w="120" w:type="dxa"/>
              <w:bottom w:w="100" w:type="dxa"/>
              <w:end w:w="120" w:type="dxa"/>
            </w:tcMar>
            <w:vAlign w:val="center"/>
          </w:tcPr>
          <w:p>
            <w:pPr>
              <w:jc w:val="center"/>
            </w:pPr>
            <w:r>
              <w:rPr>
                <w:b/>
                <w:color w:val="FFFFFF"/>
                <w:sz w:val="18"/>
              </w:rPr>
              <w:t>Purpose</w:t>
            </w:r>
          </w:p>
        </w:tc>
      </w:tr>
      <w:tr>
        <w:tc>
          <w:tcPr>
            <w:tcW w:type="dxa" w:w="1008"/>
            <w:tcMar>
              <w:top w:w="100" w:type="dxa"/>
              <w:start w:w="120" w:type="dxa"/>
              <w:bottom w:w="100" w:type="dxa"/>
              <w:end w:w="120" w:type="dxa"/>
            </w:tcMar>
            <w:vAlign w:val="center"/>
          </w:tcPr>
          <w:p>
            <w:r>
              <w:rPr>
                <w:color w:val="1F2937"/>
                <w:sz w:val="18"/>
              </w:rPr>
              <w:t>1</w:t>
            </w:r>
          </w:p>
        </w:tc>
        <w:tc>
          <w:tcPr>
            <w:tcW w:type="dxa" w:w="3888"/>
            <w:tcMar>
              <w:top w:w="100" w:type="dxa"/>
              <w:start w:w="120" w:type="dxa"/>
              <w:bottom w:w="100" w:type="dxa"/>
              <w:end w:w="120" w:type="dxa"/>
            </w:tcMar>
            <w:vAlign w:val="center"/>
          </w:tcPr>
          <w:p>
            <w:r>
              <w:rPr>
                <w:color w:val="1F2937"/>
                <w:sz w:val="18"/>
              </w:rPr>
              <w:t>System context</w:t>
            </w:r>
          </w:p>
        </w:tc>
        <w:tc>
          <w:tcPr>
            <w:tcW w:type="dxa" w:w="4392"/>
            <w:tcMar>
              <w:top w:w="100" w:type="dxa"/>
              <w:start w:w="120" w:type="dxa"/>
              <w:bottom w:w="100" w:type="dxa"/>
              <w:end w:w="120" w:type="dxa"/>
            </w:tcMar>
            <w:vAlign w:val="center"/>
          </w:tcPr>
          <w:p>
            <w:r>
              <w:rPr>
                <w:color w:val="1F2937"/>
                <w:sz w:val="18"/>
              </w:rPr>
              <w:t>Architecture or workflow view included in this SAD</w:t>
            </w:r>
          </w:p>
        </w:tc>
      </w:tr>
      <w:tr>
        <w:tc>
          <w:tcPr>
            <w:tcW w:type="dxa" w:w="1008"/>
            <w:tcMar>
              <w:top w:w="100" w:type="dxa"/>
              <w:start w:w="120" w:type="dxa"/>
              <w:bottom w:w="100" w:type="dxa"/>
              <w:end w:w="120" w:type="dxa"/>
            </w:tcMar>
            <w:vAlign w:val="center"/>
            <w:shd w:fill="F7F9FC"/>
          </w:tcPr>
          <w:p>
            <w:r>
              <w:rPr>
                <w:color w:val="1F2937"/>
                <w:sz w:val="18"/>
              </w:rPr>
              <w:t>2</w:t>
            </w:r>
          </w:p>
        </w:tc>
        <w:tc>
          <w:tcPr>
            <w:tcW w:type="dxa" w:w="3888"/>
            <w:tcMar>
              <w:top w:w="100" w:type="dxa"/>
              <w:start w:w="120" w:type="dxa"/>
              <w:bottom w:w="100" w:type="dxa"/>
              <w:end w:w="120" w:type="dxa"/>
            </w:tcMar>
            <w:vAlign w:val="center"/>
            <w:shd w:fill="F7F9FC"/>
          </w:tcPr>
          <w:p>
            <w:r>
              <w:rPr>
                <w:color w:val="1F2937"/>
                <w:sz w:val="18"/>
              </w:rPr>
              <w:t>Use case view</w:t>
            </w:r>
          </w:p>
        </w:tc>
        <w:tc>
          <w:tcPr>
            <w:tcW w:type="dxa" w:w="4392"/>
            <w:tcMar>
              <w:top w:w="100" w:type="dxa"/>
              <w:start w:w="120" w:type="dxa"/>
              <w:bottom w:w="100" w:type="dxa"/>
              <w:end w:w="120" w:type="dxa"/>
            </w:tcMar>
            <w:vAlign w:val="center"/>
            <w:shd w:fill="F7F9FC"/>
          </w:tcPr>
          <w:p>
            <w:r>
              <w:rPr>
                <w:color w:val="1F2937"/>
                <w:sz w:val="18"/>
              </w:rPr>
              <w:t>Architecture or workflow view included in this SAD</w:t>
            </w:r>
          </w:p>
        </w:tc>
      </w:tr>
      <w:tr>
        <w:tc>
          <w:tcPr>
            <w:tcW w:type="dxa" w:w="1008"/>
            <w:tcMar>
              <w:top w:w="100" w:type="dxa"/>
              <w:start w:w="120" w:type="dxa"/>
              <w:bottom w:w="100" w:type="dxa"/>
              <w:end w:w="120" w:type="dxa"/>
            </w:tcMar>
            <w:vAlign w:val="center"/>
          </w:tcPr>
          <w:p>
            <w:r>
              <w:rPr>
                <w:color w:val="1F2937"/>
                <w:sz w:val="18"/>
              </w:rPr>
              <w:t>3</w:t>
            </w:r>
          </w:p>
        </w:tc>
        <w:tc>
          <w:tcPr>
            <w:tcW w:type="dxa" w:w="3888"/>
            <w:tcMar>
              <w:top w:w="100" w:type="dxa"/>
              <w:start w:w="120" w:type="dxa"/>
              <w:bottom w:w="100" w:type="dxa"/>
              <w:end w:w="120" w:type="dxa"/>
            </w:tcMar>
            <w:vAlign w:val="center"/>
          </w:tcPr>
          <w:p>
            <w:r>
              <w:rPr>
                <w:color w:val="1F2937"/>
                <w:sz w:val="18"/>
              </w:rPr>
              <w:t>Logical component architecture</w:t>
            </w:r>
          </w:p>
        </w:tc>
        <w:tc>
          <w:tcPr>
            <w:tcW w:type="dxa" w:w="4392"/>
            <w:tcMar>
              <w:top w:w="100" w:type="dxa"/>
              <w:start w:w="120" w:type="dxa"/>
              <w:bottom w:w="100" w:type="dxa"/>
              <w:end w:w="120" w:type="dxa"/>
            </w:tcMar>
            <w:vAlign w:val="center"/>
          </w:tcPr>
          <w:p>
            <w:r>
              <w:rPr>
                <w:color w:val="1F2937"/>
                <w:sz w:val="18"/>
              </w:rPr>
              <w:t>Architecture or workflow view included in this SAD</w:t>
            </w:r>
          </w:p>
        </w:tc>
      </w:tr>
      <w:tr>
        <w:tc>
          <w:tcPr>
            <w:tcW w:type="dxa" w:w="1008"/>
            <w:tcMar>
              <w:top w:w="100" w:type="dxa"/>
              <w:start w:w="120" w:type="dxa"/>
              <w:bottom w:w="100" w:type="dxa"/>
              <w:end w:w="120" w:type="dxa"/>
            </w:tcMar>
            <w:vAlign w:val="center"/>
            <w:shd w:fill="F7F9FC"/>
          </w:tcPr>
          <w:p>
            <w:r>
              <w:rPr>
                <w:color w:val="1F2937"/>
                <w:sz w:val="18"/>
              </w:rPr>
              <w:t>4</w:t>
            </w:r>
          </w:p>
        </w:tc>
        <w:tc>
          <w:tcPr>
            <w:tcW w:type="dxa" w:w="3888"/>
            <w:tcMar>
              <w:top w:w="100" w:type="dxa"/>
              <w:start w:w="120" w:type="dxa"/>
              <w:bottom w:w="100" w:type="dxa"/>
              <w:end w:w="120" w:type="dxa"/>
            </w:tcMar>
            <w:vAlign w:val="center"/>
            <w:shd w:fill="F7F9FC"/>
          </w:tcPr>
          <w:p>
            <w:r>
              <w:rPr>
                <w:color w:val="1F2937"/>
                <w:sz w:val="18"/>
              </w:rPr>
              <w:t>Docker deployment architecture</w:t>
            </w:r>
          </w:p>
        </w:tc>
        <w:tc>
          <w:tcPr>
            <w:tcW w:type="dxa" w:w="4392"/>
            <w:tcMar>
              <w:top w:w="100" w:type="dxa"/>
              <w:start w:w="120" w:type="dxa"/>
              <w:bottom w:w="100" w:type="dxa"/>
              <w:end w:w="120" w:type="dxa"/>
            </w:tcMar>
            <w:vAlign w:val="center"/>
            <w:shd w:fill="F7F9FC"/>
          </w:tcPr>
          <w:p>
            <w:r>
              <w:rPr>
                <w:color w:val="1F2937"/>
                <w:sz w:val="18"/>
              </w:rPr>
              <w:t>Architecture or workflow view included in this SAD</w:t>
            </w:r>
          </w:p>
        </w:tc>
      </w:tr>
      <w:tr>
        <w:tc>
          <w:tcPr>
            <w:tcW w:type="dxa" w:w="1008"/>
            <w:tcMar>
              <w:top w:w="100" w:type="dxa"/>
              <w:start w:w="120" w:type="dxa"/>
              <w:bottom w:w="100" w:type="dxa"/>
              <w:end w:w="120" w:type="dxa"/>
            </w:tcMar>
            <w:vAlign w:val="center"/>
          </w:tcPr>
          <w:p>
            <w:r>
              <w:rPr>
                <w:color w:val="1F2937"/>
                <w:sz w:val="18"/>
              </w:rPr>
              <w:t>5</w:t>
            </w:r>
          </w:p>
        </w:tc>
        <w:tc>
          <w:tcPr>
            <w:tcW w:type="dxa" w:w="3888"/>
            <w:tcMar>
              <w:top w:w="100" w:type="dxa"/>
              <w:start w:w="120" w:type="dxa"/>
              <w:bottom w:w="100" w:type="dxa"/>
              <w:end w:w="120" w:type="dxa"/>
            </w:tcMar>
            <w:vAlign w:val="center"/>
          </w:tcPr>
          <w:p>
            <w:r>
              <w:rPr>
                <w:color w:val="1F2937"/>
                <w:sz w:val="18"/>
              </w:rPr>
              <w:t>Core data model</w:t>
            </w:r>
          </w:p>
        </w:tc>
        <w:tc>
          <w:tcPr>
            <w:tcW w:type="dxa" w:w="4392"/>
            <w:tcMar>
              <w:top w:w="100" w:type="dxa"/>
              <w:start w:w="120" w:type="dxa"/>
              <w:bottom w:w="100" w:type="dxa"/>
              <w:end w:w="120" w:type="dxa"/>
            </w:tcMar>
            <w:vAlign w:val="center"/>
          </w:tcPr>
          <w:p>
            <w:r>
              <w:rPr>
                <w:color w:val="1F2937"/>
                <w:sz w:val="18"/>
              </w:rPr>
              <w:t>Architecture or workflow view included in this SAD</w:t>
            </w:r>
          </w:p>
        </w:tc>
      </w:tr>
      <w:tr>
        <w:tc>
          <w:tcPr>
            <w:tcW w:type="dxa" w:w="1008"/>
            <w:tcMar>
              <w:top w:w="100" w:type="dxa"/>
              <w:start w:w="120" w:type="dxa"/>
              <w:bottom w:w="100" w:type="dxa"/>
              <w:end w:w="120" w:type="dxa"/>
            </w:tcMar>
            <w:vAlign w:val="center"/>
            <w:shd w:fill="F7F9FC"/>
          </w:tcPr>
          <w:p>
            <w:r>
              <w:rPr>
                <w:color w:val="1F2937"/>
                <w:sz w:val="18"/>
              </w:rPr>
              <w:t>6</w:t>
            </w:r>
          </w:p>
        </w:tc>
        <w:tc>
          <w:tcPr>
            <w:tcW w:type="dxa" w:w="3888"/>
            <w:tcMar>
              <w:top w:w="100" w:type="dxa"/>
              <w:start w:w="120" w:type="dxa"/>
              <w:bottom w:w="100" w:type="dxa"/>
              <w:end w:w="120" w:type="dxa"/>
            </w:tcMar>
            <w:vAlign w:val="center"/>
            <w:shd w:fill="F7F9FC"/>
          </w:tcPr>
          <w:p>
            <w:r>
              <w:rPr>
                <w:color w:val="1F2937"/>
                <w:sz w:val="18"/>
              </w:rPr>
              <w:t>Level one data flow</w:t>
            </w:r>
          </w:p>
        </w:tc>
        <w:tc>
          <w:tcPr>
            <w:tcW w:type="dxa" w:w="4392"/>
            <w:tcMar>
              <w:top w:w="100" w:type="dxa"/>
              <w:start w:w="120" w:type="dxa"/>
              <w:bottom w:w="100" w:type="dxa"/>
              <w:end w:w="120" w:type="dxa"/>
            </w:tcMar>
            <w:vAlign w:val="center"/>
            <w:shd w:fill="F7F9FC"/>
          </w:tcPr>
          <w:p>
            <w:r>
              <w:rPr>
                <w:color w:val="1F2937"/>
                <w:sz w:val="18"/>
              </w:rPr>
              <w:t>Architecture or workflow view included in this SAD</w:t>
            </w:r>
          </w:p>
        </w:tc>
      </w:tr>
      <w:tr>
        <w:tc>
          <w:tcPr>
            <w:tcW w:type="dxa" w:w="1008"/>
            <w:tcMar>
              <w:top w:w="100" w:type="dxa"/>
              <w:start w:w="120" w:type="dxa"/>
              <w:bottom w:w="100" w:type="dxa"/>
              <w:end w:w="120" w:type="dxa"/>
            </w:tcMar>
            <w:vAlign w:val="center"/>
          </w:tcPr>
          <w:p>
            <w:r>
              <w:rPr>
                <w:color w:val="1F2937"/>
                <w:sz w:val="18"/>
              </w:rPr>
              <w:t>7</w:t>
            </w:r>
          </w:p>
        </w:tc>
        <w:tc>
          <w:tcPr>
            <w:tcW w:type="dxa" w:w="3888"/>
            <w:tcMar>
              <w:top w:w="100" w:type="dxa"/>
              <w:start w:w="120" w:type="dxa"/>
              <w:bottom w:w="100" w:type="dxa"/>
              <w:end w:w="120" w:type="dxa"/>
            </w:tcMar>
            <w:vAlign w:val="center"/>
          </w:tcPr>
          <w:p>
            <w:r>
              <w:rPr>
                <w:color w:val="1F2937"/>
                <w:sz w:val="18"/>
              </w:rPr>
              <w:t>Agent Chat sequence</w:t>
            </w:r>
          </w:p>
        </w:tc>
        <w:tc>
          <w:tcPr>
            <w:tcW w:type="dxa" w:w="4392"/>
            <w:tcMar>
              <w:top w:w="100" w:type="dxa"/>
              <w:start w:w="120" w:type="dxa"/>
              <w:bottom w:w="100" w:type="dxa"/>
              <w:end w:w="120" w:type="dxa"/>
            </w:tcMar>
            <w:vAlign w:val="center"/>
          </w:tcPr>
          <w:p>
            <w:r>
              <w:rPr>
                <w:color w:val="1F2937"/>
                <w:sz w:val="18"/>
              </w:rPr>
              <w:t>Architecture or workflow view included in this SAD</w:t>
            </w:r>
          </w:p>
        </w:tc>
      </w:tr>
      <w:tr>
        <w:tc>
          <w:tcPr>
            <w:tcW w:type="dxa" w:w="1008"/>
            <w:tcMar>
              <w:top w:w="100" w:type="dxa"/>
              <w:start w:w="120" w:type="dxa"/>
              <w:bottom w:w="100" w:type="dxa"/>
              <w:end w:w="120" w:type="dxa"/>
            </w:tcMar>
            <w:vAlign w:val="center"/>
            <w:shd w:fill="F7F9FC"/>
          </w:tcPr>
          <w:p>
            <w:r>
              <w:rPr>
                <w:color w:val="1F2937"/>
                <w:sz w:val="18"/>
              </w:rPr>
              <w:t>8</w:t>
            </w:r>
          </w:p>
        </w:tc>
        <w:tc>
          <w:tcPr>
            <w:tcW w:type="dxa" w:w="3888"/>
            <w:tcMar>
              <w:top w:w="100" w:type="dxa"/>
              <w:start w:w="120" w:type="dxa"/>
              <w:bottom w:w="100" w:type="dxa"/>
              <w:end w:w="120" w:type="dxa"/>
            </w:tcMar>
            <w:vAlign w:val="center"/>
            <w:shd w:fill="F7F9FC"/>
          </w:tcPr>
          <w:p>
            <w:r>
              <w:rPr>
                <w:color w:val="1F2937"/>
                <w:sz w:val="18"/>
              </w:rPr>
              <w:t>WhatsApp workflow</w:t>
            </w:r>
          </w:p>
        </w:tc>
        <w:tc>
          <w:tcPr>
            <w:tcW w:type="dxa" w:w="4392"/>
            <w:tcMar>
              <w:top w:w="100" w:type="dxa"/>
              <w:start w:w="120" w:type="dxa"/>
              <w:bottom w:w="100" w:type="dxa"/>
              <w:end w:w="120" w:type="dxa"/>
            </w:tcMar>
            <w:vAlign w:val="center"/>
            <w:shd w:fill="F7F9FC"/>
          </w:tcPr>
          <w:p>
            <w:r>
              <w:rPr>
                <w:color w:val="1F2937"/>
                <w:sz w:val="18"/>
              </w:rPr>
              <w:t>Architecture or workflow view included in this SAD</w:t>
            </w:r>
          </w:p>
        </w:tc>
      </w:tr>
      <w:tr>
        <w:tc>
          <w:tcPr>
            <w:tcW w:type="dxa" w:w="1008"/>
            <w:tcMar>
              <w:top w:w="100" w:type="dxa"/>
              <w:start w:w="120" w:type="dxa"/>
              <w:bottom w:w="100" w:type="dxa"/>
              <w:end w:w="120" w:type="dxa"/>
            </w:tcMar>
            <w:vAlign w:val="center"/>
          </w:tcPr>
          <w:p>
            <w:r>
              <w:rPr>
                <w:color w:val="1F2937"/>
                <w:sz w:val="18"/>
              </w:rPr>
              <w:t>9</w:t>
            </w:r>
          </w:p>
        </w:tc>
        <w:tc>
          <w:tcPr>
            <w:tcW w:type="dxa" w:w="3888"/>
            <w:tcMar>
              <w:top w:w="100" w:type="dxa"/>
              <w:start w:w="120" w:type="dxa"/>
              <w:bottom w:w="100" w:type="dxa"/>
              <w:end w:w="120" w:type="dxa"/>
            </w:tcMar>
            <w:vAlign w:val="center"/>
          </w:tcPr>
          <w:p>
            <w:r>
              <w:rPr>
                <w:color w:val="1F2937"/>
                <w:sz w:val="18"/>
              </w:rPr>
              <w:t>Message and artifact state model</w:t>
            </w:r>
          </w:p>
        </w:tc>
        <w:tc>
          <w:tcPr>
            <w:tcW w:type="dxa" w:w="4392"/>
            <w:tcMar>
              <w:top w:w="100" w:type="dxa"/>
              <w:start w:w="120" w:type="dxa"/>
              <w:bottom w:w="100" w:type="dxa"/>
              <w:end w:w="120" w:type="dxa"/>
            </w:tcMar>
            <w:vAlign w:val="center"/>
          </w:tcPr>
          <w:p>
            <w:r>
              <w:rPr>
                <w:color w:val="1F2937"/>
                <w:sz w:val="18"/>
              </w:rPr>
              <w:t>Architecture or workflow view included in this SAD</w:t>
            </w:r>
          </w:p>
        </w:tc>
      </w:tr>
      <w:tr>
        <w:tc>
          <w:tcPr>
            <w:tcW w:type="dxa" w:w="1008"/>
            <w:tcMar>
              <w:top w:w="100" w:type="dxa"/>
              <w:start w:w="120" w:type="dxa"/>
              <w:bottom w:w="100" w:type="dxa"/>
              <w:end w:w="120" w:type="dxa"/>
            </w:tcMar>
            <w:vAlign w:val="center"/>
            <w:shd w:fill="F7F9FC"/>
          </w:tcPr>
          <w:p>
            <w:r>
              <w:rPr>
                <w:color w:val="1F2937"/>
                <w:sz w:val="18"/>
              </w:rPr>
              <w:t>10</w:t>
            </w:r>
          </w:p>
        </w:tc>
        <w:tc>
          <w:tcPr>
            <w:tcW w:type="dxa" w:w="3888"/>
            <w:tcMar>
              <w:top w:w="100" w:type="dxa"/>
              <w:start w:w="120" w:type="dxa"/>
              <w:bottom w:w="100" w:type="dxa"/>
              <w:end w:w="120" w:type="dxa"/>
            </w:tcMar>
            <w:vAlign w:val="center"/>
            <w:shd w:fill="F7F9FC"/>
          </w:tcPr>
          <w:p>
            <w:r>
              <w:rPr>
                <w:color w:val="1F2937"/>
                <w:sz w:val="18"/>
              </w:rPr>
              <w:t>Security boundaries and trust zones</w:t>
            </w:r>
          </w:p>
        </w:tc>
        <w:tc>
          <w:tcPr>
            <w:tcW w:type="dxa" w:w="4392"/>
            <w:tcMar>
              <w:top w:w="100" w:type="dxa"/>
              <w:start w:w="120" w:type="dxa"/>
              <w:bottom w:w="100" w:type="dxa"/>
              <w:end w:w="120" w:type="dxa"/>
            </w:tcMar>
            <w:vAlign w:val="center"/>
            <w:shd w:fill="F7F9FC"/>
          </w:tcPr>
          <w:p>
            <w:r>
              <w:rPr>
                <w:color w:val="1F2937"/>
                <w:sz w:val="18"/>
              </w:rPr>
              <w:t>Architecture or workflow view included in this SAD</w:t>
            </w:r>
          </w:p>
        </w:tc>
      </w:tr>
      <w:tr>
        <w:tc>
          <w:tcPr>
            <w:tcW w:type="dxa" w:w="1008"/>
            <w:tcMar>
              <w:top w:w="100" w:type="dxa"/>
              <w:start w:w="120" w:type="dxa"/>
              <w:bottom w:w="100" w:type="dxa"/>
              <w:end w:w="120" w:type="dxa"/>
            </w:tcMar>
            <w:vAlign w:val="center"/>
          </w:tcPr>
          <w:p>
            <w:r>
              <w:rPr>
                <w:color w:val="1F2937"/>
                <w:sz w:val="18"/>
              </w:rPr>
              <w:t>11</w:t>
            </w:r>
          </w:p>
        </w:tc>
        <w:tc>
          <w:tcPr>
            <w:tcW w:type="dxa" w:w="3888"/>
            <w:tcMar>
              <w:top w:w="100" w:type="dxa"/>
              <w:start w:w="120" w:type="dxa"/>
              <w:bottom w:w="100" w:type="dxa"/>
              <w:end w:w="120" w:type="dxa"/>
            </w:tcMar>
            <w:vAlign w:val="center"/>
          </w:tcPr>
          <w:p>
            <w:r>
              <w:rPr>
                <w:color w:val="1F2937"/>
                <w:sz w:val="18"/>
              </w:rPr>
              <w:t>Backup and recovery topology</w:t>
            </w:r>
          </w:p>
        </w:tc>
        <w:tc>
          <w:tcPr>
            <w:tcW w:type="dxa" w:w="4392"/>
            <w:tcMar>
              <w:top w:w="100" w:type="dxa"/>
              <w:start w:w="120" w:type="dxa"/>
              <w:bottom w:w="100" w:type="dxa"/>
              <w:end w:w="120" w:type="dxa"/>
            </w:tcMar>
            <w:vAlign w:val="center"/>
          </w:tcPr>
          <w:p>
            <w:r>
              <w:rPr>
                <w:color w:val="1F2937"/>
                <w:sz w:val="18"/>
              </w:rPr>
              <w:t>Architecture or workflow view included in this SAD</w:t>
            </w:r>
          </w:p>
        </w:tc>
      </w:tr>
    </w:tbl>
    <w:p>
      <w:pPr>
        <w:spacing w:after="40"/>
      </w:pPr>
    </w:p>
    <w:p>
      <w:pPr>
        <w:pStyle w:val="Heading1"/>
      </w:pPr>
      <w:r>
        <w:t>23 Receiver command appendix</w:t>
      </w:r>
    </w:p>
    <w:p>
      <w:pPr>
        <w:spacing w:after="140" w:line="259" w:lineRule="auto"/>
      </w:pPr>
      <w:r>
        <w:t>Commands below are representative Windows PowerShell commands. Run them from the handover folder and adapt Docker Desktop or shell syntax to the receiver host.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952"/>
            <w:shd w:fill="17365D"/>
            <w:tcMar>
              <w:top w:w="100" w:type="dxa"/>
              <w:start w:w="120" w:type="dxa"/>
              <w:bottom w:w="100" w:type="dxa"/>
              <w:end w:w="120" w:type="dxa"/>
            </w:tcMar>
            <w:vAlign w:val="center"/>
          </w:tcPr>
          <w:p>
            <w:pPr>
              <w:jc w:val="center"/>
            </w:pPr>
            <w:r>
              <w:rPr>
                <w:b/>
                <w:color w:val="FFFFFF"/>
                <w:sz w:val="18"/>
              </w:rPr>
              <w:t>Task</w:t>
            </w:r>
          </w:p>
        </w:tc>
        <w:tc>
          <w:tcPr>
            <w:tcW w:type="dxa" w:w="6264"/>
            <w:shd w:fill="17365D"/>
            <w:tcMar>
              <w:top w:w="100" w:type="dxa"/>
              <w:start w:w="120" w:type="dxa"/>
              <w:bottom w:w="100" w:type="dxa"/>
              <w:end w:w="120" w:type="dxa"/>
            </w:tcMar>
            <w:vAlign w:val="center"/>
          </w:tcPr>
          <w:p>
            <w:pPr>
              <w:jc w:val="center"/>
            </w:pPr>
            <w:r>
              <w:rPr>
                <w:b/>
                <w:color w:val="FFFFFF"/>
                <w:sz w:val="18"/>
              </w:rPr>
              <w:t>Command or action</w:t>
            </w:r>
          </w:p>
        </w:tc>
      </w:tr>
      <w:tr>
        <w:tc>
          <w:tcPr>
            <w:tcW w:type="dxa" w:w="2952"/>
            <w:tcMar>
              <w:top w:w="100" w:type="dxa"/>
              <w:start w:w="120" w:type="dxa"/>
              <w:bottom w:w="100" w:type="dxa"/>
              <w:end w:w="120" w:type="dxa"/>
            </w:tcMar>
            <w:vAlign w:val="center"/>
          </w:tcPr>
          <w:p>
            <w:r>
              <w:rPr>
                <w:color w:val="1F2937"/>
                <w:sz w:val="18"/>
              </w:rPr>
              <w:t>Inspect package</w:t>
            </w:r>
          </w:p>
        </w:tc>
        <w:tc>
          <w:tcPr>
            <w:tcW w:type="dxa" w:w="6264"/>
            <w:tcMar>
              <w:top w:w="100" w:type="dxa"/>
              <w:start w:w="120" w:type="dxa"/>
              <w:bottom w:w="100" w:type="dxa"/>
              <w:end w:w="120" w:type="dxa"/>
            </w:tcMar>
            <w:vAlign w:val="center"/>
          </w:tcPr>
          <w:p>
            <w:r>
              <w:rPr>
                <w:color w:val="1F2937"/>
                <w:sz w:val="18"/>
              </w:rPr>
              <w:t>Get-ChildItem .\01-source; Get-ChildItem .\02-docker-preserved</w:t>
            </w:r>
          </w:p>
        </w:tc>
      </w:tr>
      <w:tr>
        <w:tc>
          <w:tcPr>
            <w:tcW w:type="dxa" w:w="2952"/>
            <w:tcMar>
              <w:top w:w="100" w:type="dxa"/>
              <w:start w:w="120" w:type="dxa"/>
              <w:bottom w:w="100" w:type="dxa"/>
              <w:end w:w="120" w:type="dxa"/>
            </w:tcMar>
            <w:vAlign w:val="center"/>
            <w:shd w:fill="F7F9FC"/>
          </w:tcPr>
          <w:p>
            <w:r>
              <w:rPr>
                <w:color w:val="1F2937"/>
                <w:sz w:val="18"/>
              </w:rPr>
              <w:t>Start preserved Docker package</w:t>
            </w:r>
          </w:p>
        </w:tc>
        <w:tc>
          <w:tcPr>
            <w:tcW w:type="dxa" w:w="6264"/>
            <w:tcMar>
              <w:top w:w="100" w:type="dxa"/>
              <w:start w:w="120" w:type="dxa"/>
              <w:bottom w:w="100" w:type="dxa"/>
              <w:end w:w="120" w:type="dxa"/>
            </w:tcMar>
            <w:vAlign w:val="center"/>
            <w:shd w:fill="F7F9FC"/>
          </w:tcPr>
          <w:p>
            <w:r>
              <w:rPr>
                <w:color w:val="1F2937"/>
                <w:sz w:val="18"/>
              </w:rPr>
              <w:t>Set-Location .\02-docker-preserved\docker; Copy-Item .env.example .env; docker compose up -d --build</w:t>
            </w:r>
          </w:p>
        </w:tc>
      </w:tr>
      <w:tr>
        <w:tc>
          <w:tcPr>
            <w:tcW w:type="dxa" w:w="2952"/>
            <w:tcMar>
              <w:top w:w="100" w:type="dxa"/>
              <w:start w:w="120" w:type="dxa"/>
              <w:bottom w:w="100" w:type="dxa"/>
              <w:end w:w="120" w:type="dxa"/>
            </w:tcMar>
            <w:vAlign w:val="center"/>
          </w:tcPr>
          <w:p>
            <w:r>
              <w:rPr>
                <w:color w:val="1F2937"/>
                <w:sz w:val="18"/>
              </w:rPr>
              <w:t>Check services</w:t>
            </w:r>
          </w:p>
        </w:tc>
        <w:tc>
          <w:tcPr>
            <w:tcW w:type="dxa" w:w="6264"/>
            <w:tcMar>
              <w:top w:w="100" w:type="dxa"/>
              <w:start w:w="120" w:type="dxa"/>
              <w:bottom w:w="100" w:type="dxa"/>
              <w:end w:w="120" w:type="dxa"/>
            </w:tcMar>
            <w:vAlign w:val="center"/>
          </w:tcPr>
          <w:p>
            <w:r>
              <w:rPr>
                <w:color w:val="1F2937"/>
                <w:sz w:val="18"/>
              </w:rPr>
              <w:t>docker compose ps; docker compose logs --tail=200 agent-platform; docker compose logs --tail=200 postgres</w:t>
            </w:r>
          </w:p>
        </w:tc>
      </w:tr>
      <w:tr>
        <w:tc>
          <w:tcPr>
            <w:tcW w:type="dxa" w:w="2952"/>
            <w:tcMar>
              <w:top w:w="100" w:type="dxa"/>
              <w:start w:w="120" w:type="dxa"/>
              <w:bottom w:w="100" w:type="dxa"/>
              <w:end w:w="120" w:type="dxa"/>
            </w:tcMar>
            <w:vAlign w:val="center"/>
            <w:shd w:fill="F7F9FC"/>
          </w:tcPr>
          <w:p>
            <w:r>
              <w:rPr>
                <w:color w:val="1F2937"/>
                <w:sz w:val="18"/>
              </w:rPr>
              <w:t>Check database</w:t>
            </w:r>
          </w:p>
        </w:tc>
        <w:tc>
          <w:tcPr>
            <w:tcW w:type="dxa" w:w="6264"/>
            <w:tcMar>
              <w:top w:w="100" w:type="dxa"/>
              <w:start w:w="120" w:type="dxa"/>
              <w:bottom w:w="100" w:type="dxa"/>
              <w:end w:w="120" w:type="dxa"/>
            </w:tcMar>
            <w:vAlign w:val="center"/>
            <w:shd w:fill="F7F9FC"/>
          </w:tcPr>
          <w:p>
            <w:r>
              <w:rPr>
                <w:color w:val="1F2937"/>
                <w:sz w:val="18"/>
              </w:rPr>
              <w:t>docker compose exec postgres pg_isready -U $env:POSTGRES_USER -d $env:POSTGRES_DB</w:t>
            </w:r>
          </w:p>
        </w:tc>
      </w:tr>
      <w:tr>
        <w:tc>
          <w:tcPr>
            <w:tcW w:type="dxa" w:w="2952"/>
            <w:tcMar>
              <w:top w:w="100" w:type="dxa"/>
              <w:start w:w="120" w:type="dxa"/>
              <w:bottom w:w="100" w:type="dxa"/>
              <w:end w:w="120" w:type="dxa"/>
            </w:tcMar>
            <w:vAlign w:val="center"/>
          </w:tcPr>
          <w:p>
            <w:r>
              <w:rPr>
                <w:color w:val="1F2937"/>
                <w:sz w:val="18"/>
              </w:rPr>
              <w:t>Restore logical snapshot</w:t>
            </w:r>
          </w:p>
        </w:tc>
        <w:tc>
          <w:tcPr>
            <w:tcW w:type="dxa" w:w="6264"/>
            <w:tcMar>
              <w:top w:w="100" w:type="dxa"/>
              <w:start w:w="120" w:type="dxa"/>
              <w:bottom w:w="100" w:type="dxa"/>
              <w:end w:w="120" w:type="dxa"/>
            </w:tcMar>
            <w:vAlign w:val="center"/>
          </w:tcPr>
          <w:p>
            <w:r>
              <w:rPr>
                <w:color w:val="1F2937"/>
                <w:sz w:val="18"/>
              </w:rPr>
              <w:t>Use scripts\restore-logical-postgres.ps1 or the receiver-approved equivalent described in RESTORE.md</w:t>
            </w:r>
          </w:p>
        </w:tc>
      </w:tr>
      <w:tr>
        <w:tc>
          <w:tcPr>
            <w:tcW w:type="dxa" w:w="2952"/>
            <w:tcMar>
              <w:top w:w="100" w:type="dxa"/>
              <w:start w:w="120" w:type="dxa"/>
              <w:bottom w:w="100" w:type="dxa"/>
              <w:end w:w="120" w:type="dxa"/>
            </w:tcMar>
            <w:vAlign w:val="center"/>
            <w:shd w:fill="F7F9FC"/>
          </w:tcPr>
          <w:p>
            <w:r>
              <w:rPr>
                <w:color w:val="1F2937"/>
                <w:sz w:val="18"/>
              </w:rPr>
              <w:t>Check application</w:t>
            </w:r>
          </w:p>
        </w:tc>
        <w:tc>
          <w:tcPr>
            <w:tcW w:type="dxa" w:w="6264"/>
            <w:tcMar>
              <w:top w:w="100" w:type="dxa"/>
              <w:start w:w="120" w:type="dxa"/>
              <w:bottom w:w="100" w:type="dxa"/>
              <w:end w:w="120" w:type="dxa"/>
            </w:tcMar>
            <w:vAlign w:val="center"/>
            <w:shd w:fill="F7F9FC"/>
          </w:tcPr>
          <w:p>
            <w:r>
              <w:rPr>
                <w:color w:val="1F2937"/>
                <w:sz w:val="18"/>
              </w:rPr>
              <w:t>Open http://localhost:3000 and run the receiver health checks in the handover guide</w:t>
            </w:r>
          </w:p>
        </w:tc>
      </w:tr>
      <w:tr>
        <w:tc>
          <w:tcPr>
            <w:tcW w:type="dxa" w:w="2952"/>
            <w:tcMar>
              <w:top w:w="100" w:type="dxa"/>
              <w:start w:w="120" w:type="dxa"/>
              <w:bottom w:w="100" w:type="dxa"/>
              <w:end w:w="120" w:type="dxa"/>
            </w:tcMar>
            <w:vAlign w:val="center"/>
          </w:tcPr>
          <w:p>
            <w:r>
              <w:rPr>
                <w:color w:val="1F2937"/>
                <w:sz w:val="18"/>
              </w:rPr>
              <w:t>Check Hermes</w:t>
            </w:r>
          </w:p>
        </w:tc>
        <w:tc>
          <w:tcPr>
            <w:tcW w:type="dxa" w:w="6264"/>
            <w:tcMar>
              <w:top w:w="100" w:type="dxa"/>
              <w:start w:w="120" w:type="dxa"/>
              <w:bottom w:w="100" w:type="dxa"/>
              <w:end w:w="120" w:type="dxa"/>
            </w:tcMar>
            <w:vAlign w:val="center"/>
          </w:tcPr>
          <w:p>
            <w:r>
              <w:rPr>
                <w:color w:val="1F2937"/>
                <w:sz w:val="18"/>
              </w:rPr>
              <w:t>Invoke-WebRequest http://localhost:3010/health; require a ready response before Hermes acceptance</w:t>
            </w:r>
          </w:p>
        </w:tc>
      </w:tr>
      <w:tr>
        <w:tc>
          <w:tcPr>
            <w:tcW w:type="dxa" w:w="2952"/>
            <w:tcMar>
              <w:top w:w="100" w:type="dxa"/>
              <w:start w:w="120" w:type="dxa"/>
              <w:bottom w:w="100" w:type="dxa"/>
              <w:end w:w="120" w:type="dxa"/>
            </w:tcMar>
            <w:vAlign w:val="center"/>
            <w:shd w:fill="F7F9FC"/>
          </w:tcPr>
          <w:p>
            <w:r>
              <w:rPr>
                <w:color w:val="1F2937"/>
                <w:sz w:val="18"/>
              </w:rPr>
              <w:t>Verify source baseline</w:t>
            </w:r>
          </w:p>
        </w:tc>
        <w:tc>
          <w:tcPr>
            <w:tcW w:type="dxa" w:w="6264"/>
            <w:tcMar>
              <w:top w:w="100" w:type="dxa"/>
              <w:start w:w="120" w:type="dxa"/>
              <w:bottom w:w="100" w:type="dxa"/>
              <w:end w:w="120" w:type="dxa"/>
            </w:tcMar>
            <w:vAlign w:val="center"/>
            <w:shd w:fill="F7F9FC"/>
          </w:tcPr>
          <w:p>
            <w:r>
              <w:rPr>
                <w:color w:val="1F2937"/>
                <w:sz w:val="18"/>
              </w:rPr>
              <w:t>Read 01-source\BASE-COMMIT.txt and 01-source\VERIFICATION.txt; compare SHA-256 manifests</w:t>
            </w:r>
          </w:p>
        </w:tc>
      </w:tr>
      <w:tr>
        <w:tc>
          <w:tcPr>
            <w:tcW w:type="dxa" w:w="2952"/>
            <w:tcMar>
              <w:top w:w="100" w:type="dxa"/>
              <w:start w:w="120" w:type="dxa"/>
              <w:bottom w:w="100" w:type="dxa"/>
              <w:end w:w="120" w:type="dxa"/>
            </w:tcMar>
            <w:vAlign w:val="center"/>
          </w:tcPr>
          <w:p>
            <w:r>
              <w:rPr>
                <w:color w:val="1F2937"/>
                <w:sz w:val="18"/>
              </w:rPr>
              <w:t>Back up after acceptance</w:t>
            </w:r>
          </w:p>
        </w:tc>
        <w:tc>
          <w:tcPr>
            <w:tcW w:type="dxa" w:w="6264"/>
            <w:tcMar>
              <w:top w:w="100" w:type="dxa"/>
              <w:start w:w="120" w:type="dxa"/>
              <w:bottom w:w="100" w:type="dxa"/>
              <w:end w:w="120" w:type="dxa"/>
            </w:tcMar>
            <w:vAlign w:val="center"/>
          </w:tcPr>
          <w:p>
            <w:r>
              <w:rPr>
                <w:color w:val="1F2937"/>
                <w:sz w:val="18"/>
              </w:rPr>
              <w:t>Run the supplied backup scripts and store encrypted copies with checksums and date</w:t>
            </w:r>
          </w:p>
        </w:tc>
      </w:tr>
    </w:tbl>
    <w:p>
      <w:pPr>
        <w:spacing w:after="40"/>
      </w:pPr>
    </w:p>
    <w:p>
      <w:pPr>
        <w:spacing w:after="140" w:line="259" w:lineRule="auto"/>
      </w:pPr>
      <w:r>
        <w:t>The receiver should record the actual restored image digest, environment ownership, secret rotation date, database revision, retrieval count, WhatsApp session state and acceptance test results in its own operations log.</w:t>
      </w:r>
    </w:p>
    <w:sectPr w:rsidR="00FC693F" w:rsidRPr="0006063C" w:rsidSect="00034616">
      <w:footerReference w:type="default" r:id="rId2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Varadise Agent Platform Systems Analysis and Design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Varadise Agent Platform Systems Analysis and Design</dc:title>
  <dc:subject>Handover architecture and operating reference</dc:subject>
  <dc:creator>Varadise handover team</dc:creator>
  <cp:keywords/>
  <dc:description>Generated for project handover on 2026-09-28</dc:description>
  <cp:lastModifiedBy/>
  <cp:revision>1</cp:revision>
  <dcterms:created xsi:type="dcterms:W3CDTF">2013-12-23T23:15:00Z</dcterms:created>
  <dcterms:modified xsi:type="dcterms:W3CDTF">2013-12-23T23:15:00Z</dcterms:modified>
  <cp:category/>
</cp:coreProperties>
</file>