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b/>
          <w:bCs/>
          <w:color w:val="087BFA"/>
          <w:sz w:val="52"/>
          <w:szCs w:val="52"/>
        </w:rPr>
        <w:t xml:space="preserve">SARATHI AI</w:t>
      </w:r>
    </w:p>
    <w:p>
      <w:pPr>
        <w:spacing w:after="150" w:before="0"/>
        <w:jc w:val="center"/>
      </w:pPr>
      <w:r>
        <w:rPr>
          <w:b/>
          <w:bCs/>
          <w:color w:val="0B1B43"/>
          <w:sz w:val="30"/>
          <w:szCs w:val="30"/>
        </w:rPr>
        <w:t xml:space="preserve">Student Portal &amp; Platform Engineering Architecture Documentation</w:t>
      </w:r>
    </w:p>
    <w:p>
      <w:pPr>
        <w:spacing w:after="300" w:before="0"/>
        <w:jc w:val="center"/>
      </w:pPr>
      <w:r>
        <w:rPr>
          <w:i/>
          <w:iCs/>
          <w:color w:val="64748B"/>
          <w:sz w:val="20"/>
          <w:szCs w:val="20"/>
        </w:rPr>
        <w:t xml:space="preserve">Comprehensive Audit: System Architecture, Data Pipelines, API Inventory, Database Schema, and Roadmap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Document Classification</w:t>
            </w:r>
          </w:p>
        </w:tc>
        <w:tc>
          <w:tcPr>
            <w:tcW w:type="pct" w:w="3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Canonical System Engineering &amp; Architecture Reference</w:t>
            </w:r>
          </w:p>
        </w:tc>
      </w:tr>
      <w:tr>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Software Release / Schema</w:t>
            </w:r>
          </w:p>
        </w:tc>
        <w:tc>
          <w:tcPr>
            <w:tcW w:type="pct" w:w="3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Version 2.5.0 (SQLite Schema v4 / Assessment Engine V2 Active)</w:t>
            </w:r>
          </w:p>
        </w:tc>
      </w:tr>
      <w:tr>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Audit Verification Status</w:t>
            </w:r>
          </w:p>
        </w:tc>
        <w:tc>
          <w:tcPr>
            <w:tcW w:type="pct" w:w="3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142 / 142 Backend Tests Passed (100%), 39 / 39 Client Tests Passed</w:t>
            </w:r>
          </w:p>
        </w:tc>
      </w:tr>
      <w:tr>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Target Audience</w:t>
            </w:r>
          </w:p>
        </w:tc>
        <w:tc>
          <w:tcPr>
            <w:tcW w:type="pct" w:w="3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Software Engineers, AI Pair-Programmers (Antigravity/Claude), Technical Architects</w:t>
            </w:r>
          </w:p>
        </w:tc>
      </w:tr>
    </w:tbl>
    <w:p>
      <w:pPr>
        <w:spacing w:after="100" w:before="300"/>
      </w:pPr>
    </w:p>
    <w:p>
      <w:pPr>
        <w:pStyle w:val="Heading1"/>
      </w:pPr>
      <w:r>
        <w:rPr>
          <w:b/>
          <w:bCs/>
          <w:color w:val="087BFA"/>
        </w:rPr>
        <w:t xml:space="preserve">Table of Contents</w:t>
      </w:r>
    </w:p>
    <w:p>
      <w:r>
        <w:t xml:space="preserve">1. Executive Summary &amp; Core Platform Vision</w:t>
      </w:r>
    </w:p>
    <w:p>
      <w:r>
        <w:t xml:space="preserve">2. Technical Architecture &amp; Tech Stack</w:t>
      </w:r>
    </w:p>
    <w:p>
      <w:r>
        <w:t xml:space="preserve">3. Complete Multi-Portal Feature Inventory</w:t>
      </w:r>
    </w:p>
    <w:p>
      <w:r>
        <w:t xml:space="preserve">4. Student Portal Deep Audit &amp; Functional Workflows</w:t>
      </w:r>
    </w:p>
    <w:p>
      <w:r>
        <w:t xml:space="preserve">5. Recruiter, College &amp; Reviewer Portals</w:t>
      </w:r>
    </w:p>
    <w:p>
      <w:r>
        <w:t xml:space="preserve">6. REST API Inventory (19 Endpoint Modules)</w:t>
      </w:r>
    </w:p>
    <w:p>
      <w:r>
        <w:t xml:space="preserve">7. SQLite Relational Database Architecture (v4 Schema)</w:t>
      </w:r>
    </w:p>
    <w:p>
      <w:r>
        <w:t xml:space="preserve">8. Security, Multi-Tenant Isolation &amp; Authentication</w:t>
      </w:r>
    </w:p>
    <w:p>
      <w:r>
        <w:t xml:space="preserve">9. Testing &amp; Quality Assurance Verification</w:t>
      </w:r>
    </w:p>
    <w:p>
      <w:r>
        <w:t xml:space="preserve">10. Architectural Debt &amp; Engineering Roadmap</w:t>
      </w:r>
    </w:p>
    <w:p>
      <w:pPr>
        <w:spacing w:after="100" w:before="300"/>
      </w:pPr>
    </w:p>
    <w:p>
      <w:pPr>
        <w:pStyle w:val="Heading1"/>
      </w:pPr>
      <w:r>
        <w:rPr>
          <w:b/>
          <w:bCs/>
          <w:color w:val="087BFA"/>
        </w:rPr>
        <w:t xml:space="preserve">1. Executive Summary &amp; Core Platform Vision</w:t>
      </w:r>
    </w:p>
    <w:p>
      <w:r>
        <w:t xml:space="preserve">Sarathi AI is an intelligent, multi-tenant career acceleration, skill verification, and institutional talent placement platform. It provides candidates with automated diagnostic skill benchmarking, adaptive curriculum generation, verifiable skill credentials, and an integrated AI career mentor. Simultaneously, the platform equips recruiters with multi-dimensional candidate search and automated hiring pipelines, while offering colleges cohort-level placement intelligence.</w:t>
      </w:r>
    </w:p>
    <w:p>
      <w:pPr>
        <w:pStyle w:val="Heading1"/>
        <w:spacing w:after="100" w:before="300"/>
      </w:pPr>
      <w:r>
        <w:rPr>
          <w:b/>
          <w:bCs/>
          <w:color w:val="087BFA"/>
        </w:rPr>
        <w:t xml:space="preserve">2. Technical Architecture &amp; Tech Stack</w:t>
      </w:r>
    </w:p>
    <w:p>
      <w:r>
        <w:t xml:space="preserve">The Sarathi AI platform is built as a modular monorepo structured into decoupled frontend, backend, and database tiers: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257"/>
        <w:gridCol w:w="2708"/>
        <w:gridCol w:w="2257"/>
      </w:tblGrid>
      <w:tr>
        <w:tc>
          <w:tcPr>
            <w:tcW w:type="pct" w:w="100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Tier / Layer</w:t>
            </w:r>
          </w:p>
        </w:tc>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Core Technology</w:t>
            </w:r>
          </w:p>
        </w:tc>
        <w:tc>
          <w:tcPr>
            <w:tcW w:type="pct" w:w="150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Key Libraries / Drivers</w:t>
            </w:r>
          </w:p>
        </w:tc>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Primary Responsibility</w:t>
            </w:r>
          </w:p>
        </w:tc>
      </w:tr>
      <w:tr>
        <w:tc>
          <w:tcPr>
            <w:tcW w:type="pct" w:w="1000"/>
            <w:tcBorders>
              <w:top w:val="single" w:color="D1D5DB" w:sz="1"/>
              <w:left w:val="single" w:color="D1D5DB" w:sz="1"/>
              <w:bottom w:val="single" w:color="D1D5DB" w:sz="1"/>
              <w:right w:val="single" w:color="D1D5DB" w:sz="1"/>
            </w:tcBorders>
          </w:tcPr>
          <w:p>
            <w:pPr>
              <w:spacing w:after="60" w:before="60"/>
            </w:pPr>
            <w:r>
              <w:rPr>
                <w:b/>
                <w:bCs/>
                <w:sz w:val="20"/>
                <w:szCs w:val="20"/>
              </w:rPr>
              <w:t xml:space="preserve">Frontend UI</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React 18.3 / Vite 8.3</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TypeScript 5.6, Tailwind CSS v4, Lucide React, Recharts</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Reactive portal interfaces, local state management, charts</w:t>
            </w:r>
          </w:p>
        </w:tc>
      </w:tr>
      <w:tr>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Backend API</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Node.js 24 / Express 5.0</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CORS, Cookie-Parser, Scrypt/Crypto, JWT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19 REST route controllers, 18 domain business services</w:t>
            </w:r>
          </w:p>
        </w:tc>
      </w:tr>
      <w:tr>
        <w:tc>
          <w:tcPr>
            <w:tcW w:type="pct" w:w="1000"/>
            <w:tcBorders>
              <w:top w:val="single" w:color="D1D5DB" w:sz="1"/>
              <w:left w:val="single" w:color="D1D5DB" w:sz="1"/>
              <w:bottom w:val="single" w:color="D1D5DB" w:sz="1"/>
              <w:right w:val="single" w:color="D1D5DB" w:sz="1"/>
            </w:tcBorders>
          </w:tcPr>
          <w:p>
            <w:pPr>
              <w:spacing w:after="60" w:before="60"/>
            </w:pPr>
            <w:r>
              <w:rPr>
                <w:b/>
                <w:bCs/>
                <w:sz w:val="20"/>
                <w:szCs w:val="20"/>
              </w:rPr>
              <w:t xml:space="preserve">Database Tier</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Node SQLite (node:sqlite)</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Transactional SQL repository wrapper, schema migrations</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25+ relational tables, foreign key cascading, multi-tenancy</w:t>
            </w:r>
          </w:p>
        </w:tc>
      </w:tr>
      <w:tr>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AI Provider Tier</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Multi-Provider Orchestrator</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Google Gemini (gemini-1.5-flash), OpenAI (gpt-4o-mini)</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Contextual candidate mentoring with local fallback</w:t>
            </w:r>
          </w:p>
        </w:tc>
      </w:tr>
    </w:tbl>
    <w:p>
      <w:pPr>
        <w:pStyle w:val="Heading1"/>
        <w:spacing w:after="100" w:before="300"/>
      </w:pPr>
      <w:r>
        <w:rPr>
          <w:b/>
          <w:bCs/>
          <w:color w:val="087BFA"/>
        </w:rPr>
        <w:t xml:space="preserve">3. Complete Multi-Portal Feature Inventory</w:t>
      </w:r>
    </w:p>
    <w:p>
      <w:r>
        <w:t xml:space="preserve">The platform spans four distinct operational portals plus standalone public authentication surfaces. The implementation status of every major feature is classified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2257"/>
        <w:gridCol w:w="3159"/>
      </w:tblGrid>
      <w:tr>
        <w:tc>
          <w:tcPr>
            <w:tcW w:type="pct" w:w="7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Portal</w:t>
            </w:r>
          </w:p>
        </w:tc>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Feature Name</w:t>
            </w:r>
          </w:p>
        </w:tc>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Implementation Status</w:t>
            </w:r>
          </w:p>
        </w:tc>
        <w:tc>
          <w:tcPr>
            <w:tcW w:type="pct" w:w="17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Data Binding &amp; Persistence</w:t>
            </w:r>
          </w:p>
        </w:tc>
      </w:tr>
      <w:tr>
        <w:tc>
          <w:tcPr>
            <w:tcW w:type="pct" w:w="750"/>
            <w:tcBorders>
              <w:top w:val="single" w:color="D1D5DB" w:sz="1"/>
              <w:left w:val="single" w:color="D1D5DB" w:sz="1"/>
              <w:bottom w:val="single" w:color="D1D5DB" w:sz="1"/>
              <w:right w:val="single" w:color="D1D5DB" w:sz="1"/>
            </w:tcBorders>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Career Dashboard</w:t>
            </w:r>
          </w:p>
        </w:tc>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 /api/analytics/student + StudentContext</w:t>
            </w:r>
          </w:p>
        </w:tc>
      </w:tr>
      <w:tr>
        <w:tc>
          <w:tcPr>
            <w:tcW w:type="pct" w:w="7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Skill Assessment (V1/V2)</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Verified Functional (V2 Proctored)</w:t>
            </w:r>
          </w:p>
        </w:tc>
        <w:tc>
          <w:tcPr>
            <w:tcW w:type="pct" w:w="17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POST /api/v2/assessment/* + assessment_sessions</w:t>
            </w:r>
          </w:p>
        </w:tc>
      </w:tr>
      <w:tr>
        <w:tc>
          <w:tcPr>
            <w:tcW w:type="pct" w:w="750"/>
            <w:tcBorders>
              <w:top w:val="single" w:color="D1D5DB" w:sz="1"/>
              <w:left w:val="single" w:color="D1D5DB" w:sz="1"/>
              <w:bottom w:val="single" w:color="D1D5DB" w:sz="1"/>
              <w:right w:val="single" w:color="D1D5DB" w:sz="1"/>
            </w:tcBorders>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Skill Gap Analysis</w:t>
            </w:r>
          </w:p>
        </w:tc>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domainsCatalog.ts + GET /api/resources</w:t>
            </w:r>
          </w:p>
        </w:tc>
      </w:tr>
      <w:tr>
        <w:tc>
          <w:tcPr>
            <w:tcW w:type="pct" w:w="7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Dynamic Roadmap</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GET/POST /api/roadmap + student_roadmaps</w:t>
            </w:r>
          </w:p>
        </w:tc>
      </w:tr>
      <w:tr>
        <w:tc>
          <w:tcPr>
            <w:tcW w:type="pct" w:w="750"/>
            <w:tcBorders>
              <w:top w:val="single" w:color="D1D5DB" w:sz="1"/>
              <w:left w:val="single" w:color="D1D5DB" w:sz="1"/>
              <w:bottom w:val="single" w:color="D1D5DB" w:sz="1"/>
              <w:right w:val="single" w:color="D1D5DB" w:sz="1"/>
            </w:tcBorders>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Project Evidence / GitHub</w:t>
            </w:r>
          </w:p>
        </w:tc>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POST /api/candidates/github/import + skill_evidence</w:t>
            </w:r>
          </w:p>
        </w:tc>
      </w:tr>
      <w:tr>
        <w:tc>
          <w:tcPr>
            <w:tcW w:type="pct" w:w="7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Skill Passport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GET/POST /api/passport/share + passport_shares</w:t>
            </w:r>
          </w:p>
        </w:tc>
      </w:tr>
      <w:tr>
        <w:tc>
          <w:tcPr>
            <w:tcW w:type="pct" w:w="750"/>
            <w:tcBorders>
              <w:top w:val="single" w:color="D1D5DB" w:sz="1"/>
              <w:left w:val="single" w:color="D1D5DB" w:sz="1"/>
              <w:bottom w:val="single" w:color="D1D5DB" w:sz="1"/>
              <w:right w:val="single" w:color="D1D5DB" w:sz="1"/>
            </w:tcBorders>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Opportunities &amp; Pipeline</w:t>
            </w:r>
          </w:p>
        </w:tc>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 /api/jobs + GET /api/pipeline/my-applications</w:t>
            </w:r>
          </w:p>
        </w:tc>
      </w:tr>
      <w:tr>
        <w:tc>
          <w:tcPr>
            <w:tcW w:type="pct" w:w="7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Student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AI Mentor Chatbot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POST /api/chat + aiChatService.js (Gemini/OpenAI)</w:t>
            </w:r>
          </w:p>
        </w:tc>
      </w:tr>
      <w:tr>
        <w:tc>
          <w:tcPr>
            <w:tcW w:type="pct" w:w="750"/>
            <w:tcBorders>
              <w:top w:val="single" w:color="D1D5DB" w:sz="1"/>
              <w:left w:val="single" w:color="D1D5DB" w:sz="1"/>
              <w:bottom w:val="single" w:color="D1D5DB" w:sz="1"/>
              <w:right w:val="single" w:color="D1D5DB" w:sz="1"/>
            </w:tcBorders>
          </w:tcPr>
          <w:p>
            <w:pPr>
              <w:spacing w:after="60" w:before="60"/>
            </w:pPr>
            <w:r>
              <w:rPr>
                <w:b/>
                <w:bCs/>
                <w:sz w:val="20"/>
                <w:szCs w:val="20"/>
              </w:rPr>
              <w:t xml:space="preserve">Recruiter</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Candidate Discovery</w:t>
            </w:r>
          </w:p>
        </w:tc>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 /api/candidates/search + matchingService.js</w:t>
            </w:r>
          </w:p>
        </w:tc>
      </w:tr>
      <w:tr>
        <w:tc>
          <w:tcPr>
            <w:tcW w:type="pct" w:w="7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Recruiter</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Hiring Pipeline (Kanban)</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/api/pipeline/* + applications table (11 stages)</w:t>
            </w:r>
          </w:p>
        </w:tc>
      </w:tr>
      <w:tr>
        <w:tc>
          <w:tcPr>
            <w:tcW w:type="pct" w:w="750"/>
            <w:tcBorders>
              <w:top w:val="single" w:color="D1D5DB" w:sz="1"/>
              <w:left w:val="single" w:color="D1D5DB" w:sz="1"/>
              <w:bottom w:val="single" w:color="D1D5DB" w:sz="1"/>
              <w:right w:val="single" w:color="D1D5DB" w:sz="1"/>
            </w:tcBorders>
          </w:tcPr>
          <w:p>
            <w:pPr>
              <w:spacing w:after="60" w:before="60"/>
            </w:pPr>
            <w:r>
              <w:rPr>
                <w:b/>
                <w:bCs/>
                <w:sz w:val="20"/>
                <w:szCs w:val="20"/>
              </w:rPr>
              <w:t xml:space="preserve">Reviewer</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Proctoring Review Queue</w:t>
            </w:r>
          </w:p>
        </w:tc>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Verified Functional</w:t>
            </w:r>
          </w:p>
        </w:tc>
        <w:tc>
          <w:tcPr>
            <w:tcW w:type="pct" w:w="17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GET/POST /api/v2/assessment/review/* + integrity_reviews</w:t>
            </w:r>
          </w:p>
        </w:tc>
      </w:tr>
      <w:tr>
        <w:tc>
          <w:tcPr>
            <w:tcW w:type="pct" w:w="7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College</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Placement Dashboard</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Mock / Prototype</w:t>
            </w:r>
          </w:p>
        </w:tc>
        <w:tc>
          <w:tcPr>
            <w:tcW w:type="pct" w:w="17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Frontend state via mockRecruiterCollege.ts</w:t>
            </w:r>
          </w:p>
        </w:tc>
      </w:tr>
    </w:tbl>
    <w:p>
      <w:pPr>
        <w:pStyle w:val="Heading1"/>
        <w:spacing w:after="100" w:before="300"/>
      </w:pPr>
      <w:r>
        <w:rPr>
          <w:b/>
          <w:bCs/>
          <w:color w:val="087BFA"/>
        </w:rPr>
        <w:t xml:space="preserve">4. Student Portal Deep Audit &amp; Functional Workflows</w:t>
      </w:r>
    </w:p>
    <w:p>
      <w:r>
        <w:t xml:space="preserve">The Student Portal represents the core experience for job seekers and learners. The sections below describe its implementation and data integrity mechanics:</w:t>
      </w:r>
    </w:p>
    <w:p>
      <w:pPr>
        <w:pStyle w:val="Heading2"/>
      </w:pPr>
      <w:r>
        <w:rPr>
          <w:b/>
          <w:bCs/>
          <w:color w:val="0B1B43"/>
        </w:rPr>
        <w:t xml:space="preserve">4.1 Career Readiness Engine &amp; Formula</w:t>
      </w:r>
    </w:p>
    <w:p>
      <w:r>
        <w:t xml:space="preserve">The Career Readiness Score is calculated deterministically in StudentContext.tsx. It evaluates verified and diagnostic-evaluated skills against the target role requirements in domainsCatalog.ts. Points are earned only for skills with demonstrated proficiencies (Level 1 to 5). If no assessment has been taken, readiness remains null, prompting the user to take a diagnostic assessment.</w:t>
      </w:r>
    </w:p>
    <w:p>
      <w:pPr>
        <w:pStyle w:val="Heading2"/>
      </w:pPr>
      <w:r>
        <w:rPr>
          <w:b/>
          <w:bCs/>
          <w:color w:val="0B1B43"/>
        </w:rPr>
        <w:t xml:space="preserve">4.2 Proctored V2 Assessment Engine</w:t>
      </w:r>
    </w:p>
    <w:p>
      <w:r>
        <w:t xml:space="preserve">Activated by VITE_ASSESSMENT_V2=true, the V2 engine introduces camera proctoring (CameraCheck.tsx), full-screen lock enforcement, tab-switch event tracking (IntegrityBanner.tsx), and in-browser code execution (CodeWorkbench.tsx). The backend RunnerDriver handles local dev execution with timeout protection and SQL injection blocking. Flagged attempts enter the human proctoring review queue.</w:t>
      </w:r>
    </w:p>
    <w:p>
      <w:pPr>
        <w:pStyle w:val="Heading2"/>
      </w:pPr>
      <w:r>
        <w:rPr>
          <w:b/>
          <w:bCs/>
          <w:color w:val="0B1B43"/>
        </w:rPr>
        <w:t xml:space="preserve">4.3 Adaptive Roadmap &amp; Domain Track Synchronization</w:t>
      </w:r>
    </w:p>
    <w:p>
      <w:r>
        <w:t xml:space="preserve">When a candidate changes their career specialization (e.g. from Frontend to DevOps), StudentContext.setTargetRole dynamically builds the domain track curriculum, prioritizes tasks matching active skill gaps, and preserves completed task IDs in SQLite via /api/roadmap.</w:t>
      </w:r>
    </w:p>
    <w:p>
      <w:pPr>
        <w:pStyle w:val="Heading1"/>
        <w:spacing w:after="100" w:before="300"/>
      </w:pPr>
      <w:r>
        <w:rPr>
          <w:b/>
          <w:bCs/>
          <w:color w:val="087BFA"/>
        </w:rPr>
        <w:t xml:space="preserve">5. Recruiter, College &amp; Reviewer Portals</w:t>
      </w:r>
    </w:p>
    <w:p>
      <w:r>
        <w:t xml:space="preserve">The Recruiter Portal includes 13 production pages with full backend database connectivity. It supports candidate discovery, job requisitions, 11-stage Kanban pipeline advancement, interview scheduling, and evidence verification. The Reviewer Portal (/reviewer/*) allows proctors to review flagged assessment attempts. The College Portal (/college/*) renders department analytics, at-risk student lists, and placement drive schedules using client mock data; backend endpoints (/api/analytics/college) represent an upcoming enhancement.</w:t>
      </w:r>
    </w:p>
    <w:p>
      <w:pPr>
        <w:pStyle w:val="Heading1"/>
        <w:spacing w:after="100" w:before="300"/>
      </w:pPr>
      <w:r>
        <w:rPr>
          <w:b/>
          <w:bCs/>
          <w:color w:val="087BFA"/>
        </w:rPr>
        <w:t xml:space="preserve">6. REST API Inventory (19 Endpoint Modules)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1805"/>
        <w:gridCol w:w="2708"/>
      </w:tblGrid>
      <w:tr>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Route File</w:t>
            </w:r>
          </w:p>
        </w:tc>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Base URL Path</w:t>
            </w:r>
          </w:p>
        </w:tc>
        <w:tc>
          <w:tcPr>
            <w:tcW w:type="pct" w:w="100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Primary Methods</w:t>
            </w:r>
          </w:p>
        </w:tc>
        <w:tc>
          <w:tcPr>
            <w:tcW w:type="pct" w:w="150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Authentication Requirement</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authRoutes.js</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/api/auth/*</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 POST</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Public (login/register) / Bearer (me/logout)</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analyticsRoutes.js</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/api/analytics/*</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GET</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Bearer Token (Student / Recruiter RBAC)</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assessmentV2Routes.js</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/api/v2/assessment/*</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 POST</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Bearer Token (Candidate / Reviewer RBAC)</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candidateRoutes.js</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/api/candidates/*</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GET, POST, PUT</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Bearer Token (Candidate Profile / Search)</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jobRoutes.js</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/api/jobs/*</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 POST, PUT, DELETE</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Public (read jobs) / Recruiter (mutate jobs)</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pipelineRoutes.js</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/api/pipeline/*</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GET, POST, PATCH</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Bearer Token (Candidate apply / Recruiter manage)</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chatRoutes.js</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/api/chat/*</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POST</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Bearer Token (Authenticated AI Mentorship)</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roadmapRoutes.js</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/api/roadmap/*</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GET, POST</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Bearer Token (Candidate Roadmap Persistence)</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passportShareRoutes.js</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/api/passport/share/*</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GET, POST</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Bearer Token (manage) / Public (view token)</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resourceRoutes.js</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/api/resources/*</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GET, POST</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Bearer Token (Bookmarks &amp; Progress tracking)</w:t>
            </w:r>
          </w:p>
        </w:tc>
      </w:tr>
    </w:tbl>
    <w:p>
      <w:pPr>
        <w:pStyle w:val="Heading1"/>
        <w:spacing w:after="100" w:before="300"/>
      </w:pPr>
      <w:r>
        <w:rPr>
          <w:b/>
          <w:bCs/>
          <w:color w:val="087BFA"/>
        </w:rPr>
        <w:t xml:space="preserve">7. SQLite Relational Database Architecture (v4 Schema)</w:t>
      </w:r>
    </w:p>
    <w:p>
      <w:r>
        <w:t xml:space="preserve">The database tier (server/src/data/schema.js) is versioned at Schema Version 4. Key tables and foreign-key dependencies are documented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2257"/>
        <w:gridCol w:w="2708"/>
      </w:tblGrid>
      <w:tr>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Table Name</w:t>
            </w:r>
          </w:p>
        </w:tc>
        <w:tc>
          <w:tcPr>
            <w:tcW w:type="pct" w:w="100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Primary Key</w:t>
            </w:r>
          </w:p>
        </w:tc>
        <w:tc>
          <w:tcPr>
            <w:tcW w:type="pct" w:w="125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Foreign Key References</w:t>
            </w:r>
          </w:p>
        </w:tc>
        <w:tc>
          <w:tcPr>
            <w:tcW w:type="pct" w:w="1500"/>
            <w:tcBorders>
              <w:top w:val="single" w:color="D1D5DB" w:sz="1"/>
              <w:left w:val="single" w:color="D1D5DB" w:sz="1"/>
              <w:bottom w:val="single" w:color="D1D5DB" w:sz="1"/>
              <w:right w:val="single" w:color="D1D5DB" w:sz="1"/>
            </w:tcBorders>
            <w:shd w:fill="0B1B43" w:val="clear"/>
          </w:tcPr>
          <w:p>
            <w:pPr>
              <w:spacing w:after="80" w:before="80"/>
            </w:pPr>
            <w:r>
              <w:rPr>
                <w:b/>
                <w:bCs/>
                <w:color w:val="FFFFFF"/>
                <w:sz w:val="20"/>
                <w:szCs w:val="20"/>
              </w:rPr>
              <w:t xml:space="preserve">Purpose &amp; Data Stored</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users</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id (TEXT)</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Self-contained identity table</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Global user identity, email, password_hash, role</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candidate_profiles</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id (TEXT)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users(id) ON DELETE CASCADE</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Target role, headline, github_url, portfolio, resume</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candidate_skills</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id (TEXT)</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users(id), skills(id)</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Demonstrated proficiency level, verification status</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assessment_sessions</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id (TEXT)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users(id) ON DELETE CASCADE</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Assessment attempts, practice/secure mode, deadlines</w:t>
            </w:r>
          </w:p>
        </w:tc>
      </w:tr>
      <w:tr>
        <w:tc>
          <w:tcPr>
            <w:tcW w:type="pct" w:w="1250"/>
            <w:tcBorders>
              <w:top w:val="single" w:color="D1D5DB" w:sz="1"/>
              <w:left w:val="single" w:color="D1D5DB" w:sz="1"/>
              <w:bottom w:val="single" w:color="D1D5DB" w:sz="1"/>
              <w:right w:val="single" w:color="D1D5DB" w:sz="1"/>
            </w:tcBorders>
          </w:tcPr>
          <w:p>
            <w:pPr>
              <w:spacing w:after="60" w:before="60"/>
            </w:pPr>
            <w:r>
              <w:rPr>
                <w:b/>
                <w:bCs/>
                <w:sz w:val="20"/>
                <w:szCs w:val="20"/>
              </w:rPr>
              <w:t xml:space="preserve">jobs</w:t>
            </w:r>
          </w:p>
        </w:tc>
        <w:tc>
          <w:tcPr>
            <w:tcW w:type="pct" w:w="10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id (TEXT)</w:t>
            </w:r>
          </w:p>
        </w:tc>
        <w:tc>
          <w:tcPr>
            <w:tcW w:type="pct" w:w="125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organisations(id), users(id)</w:t>
            </w:r>
          </w:p>
        </w:tc>
        <w:tc>
          <w:tcPr>
            <w:tcW w:type="pct" w:w="1500"/>
            <w:tcBorders>
              <w:top w:val="single" w:color="D1D5DB" w:sz="1"/>
              <w:left w:val="single" w:color="D1D5DB" w:sz="1"/>
              <w:bottom w:val="single" w:color="D1D5DB" w:sz="1"/>
              <w:right w:val="single" w:color="D1D5DB" w:sz="1"/>
            </w:tcBorders>
          </w:tcPr>
          <w:p>
            <w:pPr>
              <w:spacing w:after="60" w:before="60"/>
            </w:pPr>
            <w:r>
              <w:rPr>
                <w:b w:val="false"/>
                <w:bCs w:val="false"/>
                <w:sz w:val="20"/>
                <w:szCs w:val="20"/>
              </w:rPr>
              <w:t xml:space="preserve">Job postings, salary range, employment type, status</w:t>
            </w:r>
          </w:p>
        </w:tc>
      </w:tr>
      <w:tr>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bCs/>
                <w:sz w:val="20"/>
                <w:szCs w:val="20"/>
              </w:rPr>
              <w:t xml:space="preserve">applications</w:t>
            </w:r>
          </w:p>
        </w:tc>
        <w:tc>
          <w:tcPr>
            <w:tcW w:type="pct" w:w="10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id (TEXT)</w:t>
            </w:r>
          </w:p>
        </w:tc>
        <w:tc>
          <w:tcPr>
            <w:tcW w:type="pct" w:w="125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jobs(id), users(id)</w:t>
            </w:r>
          </w:p>
        </w:tc>
        <w:tc>
          <w:tcPr>
            <w:tcW w:type="pct" w:w="1500"/>
            <w:tcBorders>
              <w:top w:val="single" w:color="D1D5DB" w:sz="1"/>
              <w:left w:val="single" w:color="D1D5DB" w:sz="1"/>
              <w:bottom w:val="single" w:color="D1D5DB" w:sz="1"/>
              <w:right w:val="single" w:color="D1D5DB" w:sz="1"/>
            </w:tcBorders>
            <w:shd w:fill="F4F7FC" w:val="clear"/>
          </w:tcPr>
          <w:p>
            <w:pPr>
              <w:spacing w:after="60" w:before="60"/>
            </w:pPr>
            <w:r>
              <w:rPr>
                <w:b w:val="false"/>
                <w:bCs w:val="false"/>
                <w:sz w:val="20"/>
                <w:szCs w:val="20"/>
              </w:rPr>
              <w:t xml:space="preserve">Candidate applications across 11 recruitment stages</w:t>
            </w:r>
          </w:p>
        </w:tc>
      </w:tr>
    </w:tbl>
    <w:p>
      <w:pPr>
        <w:pStyle w:val="Heading1"/>
        <w:spacing w:after="100" w:before="300"/>
      </w:pPr>
      <w:r>
        <w:rPr>
          <w:b/>
          <w:bCs/>
          <w:color w:val="087BFA"/>
        </w:rPr>
        <w:t xml:space="preserve">8. Security, Multi-Tenant Isolation &amp; Authentication</w:t>
      </w:r>
    </w:p>
    <w:p>
      <w:r>
        <w:t xml:space="preserve">Multi-tenant boundaries are enforced at both the database and service levels. Every operational recruiter entity is scoped to an org_id. Cross-tenant queries are strictly rejected with 403 Forbidden. Candidates cannot access recruiter candidate pools or modify applications from other users. Authentication tokens are cryptographically signed using HS256 with 7-day expiration.</w:t>
      </w:r>
    </w:p>
    <w:p>
      <w:pPr>
        <w:pStyle w:val="Heading1"/>
        <w:spacing w:after="100" w:before="300"/>
      </w:pPr>
      <w:r>
        <w:rPr>
          <w:b/>
          <w:bCs/>
          <w:color w:val="087BFA"/>
        </w:rPr>
        <w:t xml:space="preserve">9. Testing &amp; Quality Assurance Verification</w:t>
      </w:r>
    </w:p>
    <w:p>
      <w:r>
        <w:t xml:space="preserve">The backend test suite executes 142 integration tests across 22 test suites via Node.js native test runner (npm test) with 100% pass rate. Verified areas include session security, multi-tenant data isolation, real password authentication, roadmap track synchronization, runner driver security bounds, AI chat rate limiting, and candidate matching algorithms. The frontend client executes 39 Vitest tests covering assessment UI components.</w:t>
      </w:r>
    </w:p>
    <w:p>
      <w:pPr>
        <w:pStyle w:val="Heading1"/>
        <w:spacing w:after="100" w:before="300"/>
      </w:pPr>
      <w:r>
        <w:rPr>
          <w:b/>
          <w:bCs/>
          <w:color w:val="087BFA"/>
        </w:rPr>
        <w:t xml:space="preserve">10. Architectural Debt &amp; Engineering Roadmap</w:t>
      </w:r>
    </w:p>
    <w:p>
      <w:pPr>
        <w:pStyle w:val="ListParagraph"/>
        <w:numPr>
          <w:ilvl w:val="0"/>
          <w:numId w:val="1"/>
        </w:numPr>
      </w:pPr>
      <w:r>
        <w:rPr>
          <w:b/>
          <w:bCs/>
        </w:rPr>
        <w:t xml:space="preserve">Login UI Modernization: </w:t>
      </w:r>
      <w:r>
        <w:t xml:space="preserve">Execute redesign according to SARATHI_LOGIN_UI_REDESIGN_HANDOFF.md while preserving the 8-layer authentication contracts.</w:t>
      </w:r>
    </w:p>
    <w:p>
      <w:pPr>
        <w:pStyle w:val="ListParagraph"/>
        <w:numPr>
          <w:ilvl w:val="0"/>
          <w:numId w:val="1"/>
        </w:numPr>
      </w:pPr>
      <w:r>
        <w:rPr>
          <w:b/>
          <w:bCs/>
        </w:rPr>
        <w:t xml:space="preserve">College Portal Backend Integration: </w:t>
      </w:r>
      <w:r>
        <w:t xml:space="preserve">Build real Express endpoints (/api/analytics/college) backed by SQL aggregations to replace client mock data.</w:t>
      </w:r>
    </w:p>
    <w:p>
      <w:pPr>
        <w:pStyle w:val="ListParagraph"/>
        <w:numPr>
          <w:ilvl w:val="0"/>
          <w:numId w:val="1"/>
        </w:numPr>
      </w:pPr>
      <w:r>
        <w:rPr>
          <w:b/>
          <w:bCs/>
        </w:rPr>
        <w:t xml:space="preserve">Session Persistence Enhancement: </w:t>
      </w:r>
      <w:r>
        <w:t xml:space="preserve">Implement conditional localStorage token persistence when the user toggles "Remember Me".</w:t>
      </w:r>
    </w:p>
    <w:p>
      <w:pPr>
        <w:pStyle w:val="ListParagraph"/>
        <w:numPr>
          <w:ilvl w:val="0"/>
          <w:numId w:val="1"/>
        </w:numPr>
      </w:pPr>
      <w:r>
        <w:rPr>
          <w:b/>
          <w:bCs/>
        </w:rPr>
        <w:t xml:space="preserve">Cloud Container Execution: </w:t>
      </w:r>
      <w:r>
        <w:t xml:space="preserve">Deploy production Judge0 runner containers for sandboxed multi-language code execution.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pPr>
        <w:spacing w:after="100" w:before="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Sarathi AI - Complete Student Portal &amp; Platform Architecture Documentation</dc:title>
  <dc:creator>Un-named</dc:creator>
  <dc:description>Master technical reference for Sarathi AI</dc:description>
  <cp:lastModifiedBy>Un-named</cp:lastModifiedBy>
  <cp:revision>1</cp:revision>
  <dcterms:created xsi:type="dcterms:W3CDTF">2026-10-17T21:39:31.729Z</dcterms:created>
  <dcterms:modified xsi:type="dcterms:W3CDTF">2026-10-17T21:39:31.730Z</dcterms:modified>
</cp:coreProperties>
</file>

<file path=docProps/custom.xml><?xml version="1.0" encoding="utf-8"?>
<Properties xmlns="http://schemas.openxmlformats.org/officeDocument/2006/custom-properties" xmlns:vt="http://schemas.openxmlformats.org/officeDocument/2006/docPropsVTypes"/>
</file>