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«Неваляшки»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(ритмика для малышей)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4.1. Стоимость платной образовательной услуги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«Неваляшки»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4</Pages>
  <Words>1198</Words>
  <Characters>9137</Characters>
  <CharactersWithSpaces>10398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2025-08-28T20:15:49Z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