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color w:val="E11D48"/>
          <w:sz w:val="44"/>
        </w:rPr>
        <w:t>LIFEDROP SHIVAMOGGA</w:t>
        <w:br/>
      </w:r>
      <w:r>
        <w:rPr>
          <w:rFonts w:ascii="Arial" w:hAnsi="Arial"/>
          <w:b/>
          <w:color w:val="0F172A"/>
          <w:sz w:val="24"/>
        </w:rPr>
        <w:t>Rapid Emergency Blood Donor Network &amp; Triage Intelligence Platform</w:t>
        <w:br/>
      </w:r>
      <w:r>
        <w:rPr>
          <w:rFonts w:ascii="Calibri" w:hAnsi="Calibri"/>
          <w:i/>
          <w:color w:val="64748B"/>
          <w:sz w:val="19"/>
        </w:rPr>
        <w:t>Shivamogga District Emergency Healthcare &amp; Blood Donor Coordination System | Version 2.0</w:t>
      </w:r>
    </w:p>
    <w:p>
      <w:pPr>
        <w:keepNext/>
        <w:spacing w:before="280" w:after="80"/>
      </w:pPr>
      <w:r>
        <w:rPr>
          <w:rFonts w:ascii="Arial" w:hAnsi="Arial"/>
          <w:b/>
          <w:color w:val="E11D48"/>
          <w:sz w:val="28"/>
        </w:rPr>
        <w:t>1. Executive Summary &amp; Project Background</w:t>
      </w:r>
    </w:p>
    <w:p>
      <w:pPr>
        <w:spacing w:after="80" w:line="276" w:lineRule="auto"/>
      </w:pPr>
      <w:r>
        <w:rPr>
          <w:rFonts w:ascii="Calibri" w:hAnsi="Calibri"/>
          <w:color w:val="334155"/>
          <w:sz w:val="20"/>
        </w:rPr>
        <w:t>Lifedrop is an emergency medical response platform designed to eliminate fatal delays in blood procurement across Shivamogga and the wider Malnad region. In critical emergency situations—such as severe road traffic accidents, acute postpartum haemorrhage, oncological surgeries, and dengue-induced severe thrombocytopenia—access to compatible blood within the 'Golden Hour' is the primary determinant of patient survival.</w:t>
      </w:r>
    </w:p>
    <w:p>
      <w:pPr>
        <w:spacing w:after="80" w:line="276" w:lineRule="auto"/>
      </w:pPr>
      <w:r>
        <w:rPr>
          <w:rFonts w:ascii="Calibri" w:hAnsi="Calibri"/>
          <w:color w:val="334155"/>
          <w:sz w:val="20"/>
        </w:rPr>
        <w:t>Traditional blood search methods rely on fragmented social media broadcasts, manual phone calls to acquaintances, and physical visits to multiple hospital blood banks. This manual workflow frequently causes delays of 2 to 6 hours. Lifedrop re-engineers this pipeline into an automated, real-time matching system that dispatches alerts to verified, compatible donors within minutes.</w:t>
      </w:r>
    </w:p>
    <w:tbl>
      <w:tblPr>
        <w:tblW w:type="auto" w:w="0"/>
        <w:jc w:val="center"/>
        <w:tblLook w:firstColumn="1" w:firstRow="1" w:lastColumn="0" w:lastRow="0" w:noHBand="0" w:noVBand="1" w:val="04A0"/>
      </w:tblPr>
      <w:tblGrid>
        <w:gridCol w:w="9936"/>
      </w:tblGrid>
      <w:tr>
        <w:tc>
          <w:tcPr>
            <w:tcW w:type="dxa" w:w="9792"/>
            <w:shd w:fill="FFF1F2"/>
            <w:tcMar>
              <w:top w:w="120" w:type="dxa"/>
              <w:bottom w:w="120" w:type="dxa"/>
              <w:left w:w="180" w:type="dxa"/>
              <w:right w:w="180" w:type="dxa"/>
            </w:tcMar>
          </w:tcPr>
          <w:p>
            <w:pPr>
              <w:spacing w:after="40"/>
            </w:pPr>
            <w:r>
              <w:rPr>
                <w:rFonts w:ascii="Arial" w:hAnsi="Arial"/>
                <w:b/>
                <w:color w:val="E11D48"/>
                <w:sz w:val="21"/>
              </w:rPr>
              <w:t>📌 Mission Statement</w:t>
              <w:br/>
            </w:r>
            <w:r>
              <w:rPr>
                <w:rFonts w:ascii="Calibri" w:hAnsi="Calibri"/>
                <w:color w:val="1E293B"/>
                <w:sz w:val="19"/>
              </w:rPr>
              <w:t>To build a resilient, zero-lag volunteer blood donation infrastructure in Shivamogga that guarantees no patient loses their life due to the unavailability of compatible blood or lack of donor connectivity.</w:t>
            </w:r>
          </w:p>
        </w:tc>
      </w:tr>
    </w:tbl>
    <w:p>
      <w:pPr>
        <w:spacing w:after="80"/>
      </w:pPr>
    </w:p>
    <w:p>
      <w:pPr>
        <w:keepNext/>
        <w:spacing w:before="200" w:after="40"/>
      </w:pPr>
      <w:r>
        <w:rPr>
          <w:rFonts w:ascii="Arial" w:hAnsi="Arial"/>
          <w:b/>
          <w:color w:val="1E293B"/>
          <w:sz w:val="23"/>
        </w:rPr>
        <w:t>1.1 Core Problem Statement &amp; Regional Healthcare Challenges</w:t>
      </w:r>
    </w:p>
    <w:p>
      <w:pPr>
        <w:spacing w:after="80" w:line="276" w:lineRule="auto"/>
      </w:pPr>
      <w:r>
        <w:rPr>
          <w:rFonts w:ascii="Calibri" w:hAnsi="Calibri"/>
          <w:color w:val="334155"/>
          <w:sz w:val="20"/>
        </w:rPr>
        <w:t>The healthcare ecosystem in Shivamogga faces four primary blood availability bottlenecks:</w:t>
      </w:r>
    </w:p>
    <w:p>
      <w:pPr>
        <w:spacing w:after="80" w:line="276" w:lineRule="auto"/>
      </w:pPr>
      <w:r>
        <w:rPr>
          <w:rFonts w:ascii="Calibri" w:hAnsi="Calibri"/>
          <w:b/>
          <w:color w:val="0F172A"/>
          <w:sz w:val="20"/>
        </w:rPr>
        <w:t xml:space="preserve">1. Fragmented Inventory: </w:t>
      </w:r>
      <w:r>
        <w:rPr>
          <w:rFonts w:ascii="Calibri" w:hAnsi="Calibri"/>
          <w:color w:val="334155"/>
          <w:sz w:val="20"/>
        </w:rPr>
        <w:t>Lack of a unified digital registry makes it difficult to ascertain which hospital (McGann, Sahyadri, Nanjappa, or Rotary) has specific units.</w:t>
      </w:r>
    </w:p>
    <w:p>
      <w:pPr>
        <w:spacing w:after="80" w:line="276" w:lineRule="auto"/>
      </w:pPr>
      <w:r>
        <w:rPr>
          <w:rFonts w:ascii="Calibri" w:hAnsi="Calibri"/>
          <w:b/>
          <w:color w:val="0F172A"/>
          <w:sz w:val="20"/>
        </w:rPr>
        <w:t xml:space="preserve">2. Rare Blood Accessibility: </w:t>
      </w:r>
      <w:r>
        <w:rPr>
          <w:rFonts w:ascii="Calibri" w:hAnsi="Calibri"/>
          <w:color w:val="334155"/>
          <w:sz w:val="20"/>
        </w:rPr>
        <w:t>Patients with rare blood groups (such as O-negative, AB-negative, or Bombay phenotype) face high mortality risks due to lack of an on-demand donor registry.</w:t>
      </w:r>
    </w:p>
    <w:p>
      <w:pPr>
        <w:spacing w:after="80" w:line="276" w:lineRule="auto"/>
      </w:pPr>
      <w:r>
        <w:rPr>
          <w:rFonts w:ascii="Calibri" w:hAnsi="Calibri"/>
          <w:b/>
          <w:color w:val="0F172A"/>
          <w:sz w:val="20"/>
        </w:rPr>
        <w:t xml:space="preserve">3. Unverified Emergency Broadcasts: </w:t>
      </w:r>
      <w:r>
        <w:rPr>
          <w:rFonts w:ascii="Calibri" w:hAnsi="Calibri"/>
          <w:color w:val="334155"/>
          <w:sz w:val="20"/>
        </w:rPr>
        <w:t>Social media appeals lack clinical verification, leading to spam calls, expired requests, and delayed actual donor responses.</w:t>
      </w:r>
    </w:p>
    <w:p>
      <w:pPr>
        <w:spacing w:after="80" w:line="276" w:lineRule="auto"/>
      </w:pPr>
      <w:r>
        <w:rPr>
          <w:rFonts w:ascii="Calibri" w:hAnsi="Calibri"/>
          <w:b/>
          <w:color w:val="0F172A"/>
          <w:sz w:val="20"/>
        </w:rPr>
        <w:t xml:space="preserve">4. Geographic &amp; Transport Latency: </w:t>
      </w:r>
      <w:r>
        <w:rPr>
          <w:rFonts w:ascii="Calibri" w:hAnsi="Calibri"/>
          <w:color w:val="334155"/>
          <w:sz w:val="20"/>
        </w:rPr>
        <w:t>Surrounding rural taluks (Thirthahalli, Sagara, Sorab, Hosanagara) must transfer patients to district headquarters without confirmed blood availability.</w:t>
      </w:r>
    </w:p>
    <w:p>
      <w:pPr>
        <w:keepNext/>
        <w:spacing w:before="200" w:after="40"/>
      </w:pPr>
      <w:r>
        <w:rPr>
          <w:rFonts w:ascii="Arial" w:hAnsi="Arial"/>
          <w:b/>
          <w:color w:val="1E293B"/>
          <w:sz w:val="23"/>
        </w:rPr>
        <w:t>1.2 Strategic Objectives</w:t>
      </w:r>
    </w:p>
    <w:p>
      <w:pPr>
        <w:spacing w:after="80" w:line="276" w:lineRule="auto"/>
      </w:pPr>
      <w:r>
        <w:rPr>
          <w:rFonts w:ascii="Calibri" w:hAnsi="Calibri"/>
          <w:color w:val="334155"/>
          <w:sz w:val="20"/>
        </w:rPr>
        <w:t>• Reduce the average emergency donor matching and confirmation time to under 15 minutes.</w:t>
      </w:r>
    </w:p>
    <w:p>
      <w:pPr>
        <w:spacing w:after="80" w:line="276" w:lineRule="auto"/>
      </w:pPr>
      <w:r>
        <w:rPr>
          <w:rFonts w:ascii="Calibri" w:hAnsi="Calibri"/>
          <w:color w:val="334155"/>
          <w:sz w:val="20"/>
        </w:rPr>
        <w:t>• Provide a transparent, interactive ABO/Rh compatibility engine for clinical accuracy.</w:t>
      </w:r>
    </w:p>
    <w:p>
      <w:pPr>
        <w:spacing w:after="80" w:line="276" w:lineRule="auto"/>
      </w:pPr>
      <w:r>
        <w:rPr>
          <w:rFonts w:ascii="Calibri" w:hAnsi="Calibri"/>
          <w:color w:val="334155"/>
          <w:sz w:val="20"/>
        </w:rPr>
        <w:t>• Implement live GPS-enabled tracking for emergency blood dispatches to keep attendants informed.</w:t>
      </w:r>
    </w:p>
    <w:p>
      <w:pPr>
        <w:spacing w:after="80" w:line="276" w:lineRule="auto"/>
      </w:pPr>
      <w:r>
        <w:rPr>
          <w:rFonts w:ascii="Calibri" w:hAnsi="Calibri"/>
          <w:color w:val="334155"/>
          <w:sz w:val="20"/>
        </w:rPr>
        <w:t>• Equip community volunteers with official Digital Hero Passes to encourage recurring blood donation.</w:t>
      </w:r>
    </w:p>
    <w:p>
      <w:r>
        <w:br w:type="page"/>
      </w:r>
    </w:p>
    <w:p>
      <w:pPr>
        <w:keepNext/>
        <w:spacing w:before="280" w:after="80"/>
      </w:pPr>
      <w:r>
        <w:rPr>
          <w:rFonts w:ascii="Arial" w:hAnsi="Arial"/>
          <w:b/>
          <w:color w:val="E11D48"/>
          <w:sz w:val="28"/>
        </w:rPr>
        <w:t>2. System Architecture &amp; Core Functional Modules</w:t>
      </w:r>
    </w:p>
    <w:p>
      <w:pPr>
        <w:spacing w:after="80" w:line="276" w:lineRule="auto"/>
      </w:pPr>
      <w:r>
        <w:rPr>
          <w:rFonts w:ascii="Calibri" w:hAnsi="Calibri"/>
          <w:color w:val="334155"/>
          <w:sz w:val="20"/>
        </w:rPr>
        <w:t>Lifedrop is built on a modular full-stack architecture combining a high-performance Python/Flask REST backend, an embedded SQLite relational database, and a responsive frontend user interface featuring custom themes, interactive Leaflet maps, and an AI triage assistant.</w:t>
      </w:r>
    </w:p>
    <w:p>
      <w:pPr>
        <w:keepNext/>
        <w:spacing w:before="200" w:after="40"/>
      </w:pPr>
      <w:r>
        <w:rPr>
          <w:rFonts w:ascii="Arial" w:hAnsi="Arial"/>
          <w:b/>
          <w:color w:val="1E293B"/>
          <w:sz w:val="23"/>
        </w:rPr>
        <w:t>2.1 Module Specifications</w:t>
      </w:r>
    </w:p>
    <w:tbl>
      <w:tblPr>
        <w:tblW w:type="auto" w:w="0"/>
        <w:jc w:val="center"/>
        <w:tblLook w:firstColumn="1" w:firstRow="1" w:lastColumn="0" w:lastRow="0" w:noHBand="0" w:noVBand="1" w:val="04A0"/>
      </w:tblPr>
      <w:tblGrid>
        <w:gridCol w:w="3312"/>
        <w:gridCol w:w="3312"/>
        <w:gridCol w:w="3312"/>
      </w:tblGrid>
      <w:tr>
        <w:tc>
          <w:tcPr>
            <w:tcW w:type="dxa" w:w="3312"/>
            <w:tcMar>
              <w:top w:w="80" w:type="dxa"/>
              <w:bottom w:w="80" w:type="dxa"/>
              <w:left w:w="100" w:type="dxa"/>
              <w:right w:w="100" w:type="dxa"/>
            </w:tcMar>
            <w:shd w:fill="0F172A"/>
          </w:tcPr>
          <w:p>
            <w:pPr>
              <w:jc w:val="left"/>
            </w:pPr>
            <w:r>
              <w:rPr>
                <w:rFonts w:ascii="Arial" w:hAnsi="Arial"/>
                <w:b/>
                <w:color w:val="FFFFFF"/>
                <w:sz w:val="19"/>
              </w:rPr>
              <w:t>Module Name</w:t>
            </w:r>
          </w:p>
        </w:tc>
        <w:tc>
          <w:tcPr>
            <w:tcW w:type="dxa" w:w="3312"/>
            <w:tcMar>
              <w:top w:w="80" w:type="dxa"/>
              <w:bottom w:w="80" w:type="dxa"/>
              <w:left w:w="100" w:type="dxa"/>
              <w:right w:w="100" w:type="dxa"/>
            </w:tcMar>
            <w:shd w:fill="0F172A"/>
          </w:tcPr>
          <w:p>
            <w:pPr>
              <w:jc w:val="left"/>
            </w:pPr>
            <w:r>
              <w:rPr>
                <w:rFonts w:ascii="Arial" w:hAnsi="Arial"/>
                <w:b/>
                <w:color w:val="FFFFFF"/>
                <w:sz w:val="19"/>
              </w:rPr>
              <w:t>Primary Function</w:t>
            </w:r>
          </w:p>
        </w:tc>
        <w:tc>
          <w:tcPr>
            <w:tcW w:type="dxa" w:w="3312"/>
            <w:tcMar>
              <w:top w:w="80" w:type="dxa"/>
              <w:bottom w:w="80" w:type="dxa"/>
              <w:left w:w="100" w:type="dxa"/>
              <w:right w:w="100" w:type="dxa"/>
            </w:tcMar>
            <w:shd w:fill="0F172A"/>
          </w:tcPr>
          <w:p>
            <w:pPr>
              <w:jc w:val="left"/>
            </w:pPr>
            <w:r>
              <w:rPr>
                <w:rFonts w:ascii="Arial" w:hAnsi="Arial"/>
                <w:b/>
                <w:color w:val="FFFFFF"/>
                <w:sz w:val="19"/>
              </w:rPr>
              <w:t>Key Clinical / Technical Benefit</w:t>
            </w:r>
          </w:p>
        </w:tc>
      </w:tr>
      <w:tr>
        <w:tc>
          <w:tcPr>
            <w:tcW w:type="dxa" w:w="3312"/>
            <w:tcMar>
              <w:top w:w="80" w:type="dxa"/>
              <w:bottom w:w="80" w:type="dxa"/>
              <w:left w:w="100" w:type="dxa"/>
              <w:right w:w="100" w:type="dxa"/>
            </w:tcMar>
            <w:shd w:fill="FFF1F2"/>
          </w:tcPr>
          <w:p>
            <w:r>
              <w:rPr>
                <w:b/>
                <w:color w:val="E11D48"/>
              </w:rPr>
              <w:t>Donor Directory &amp; Filter</w:t>
            </w:r>
          </w:p>
        </w:tc>
        <w:tc>
          <w:tcPr>
            <w:tcW w:type="dxa" w:w="3312"/>
            <w:tcMar>
              <w:top w:w="80" w:type="dxa"/>
              <w:bottom w:w="80" w:type="dxa"/>
              <w:left w:w="100" w:type="dxa"/>
              <w:right w:w="100" w:type="dxa"/>
            </w:tcMar>
            <w:shd w:fill="F8FAFC"/>
          </w:tcPr>
          <w:p>
            <w:r>
              <w:t>Real-time search across verified donors with blood group, city, and live status filters.</w:t>
            </w:r>
          </w:p>
        </w:tc>
        <w:tc>
          <w:tcPr>
            <w:tcW w:type="dxa" w:w="3312"/>
            <w:tcMar>
              <w:top w:w="80" w:type="dxa"/>
              <w:bottom w:w="80" w:type="dxa"/>
              <w:left w:w="100" w:type="dxa"/>
              <w:right w:w="100" w:type="dxa"/>
            </w:tcMar>
            <w:shd w:fill="F8FAFC"/>
          </w:tcPr>
          <w:p>
            <w:r>
              <w:t>Instant access to 1,240+ verified local donors.</w:t>
            </w:r>
          </w:p>
        </w:tc>
      </w:tr>
      <w:tr>
        <w:tc>
          <w:tcPr>
            <w:tcW w:type="dxa" w:w="3312"/>
            <w:tcMar>
              <w:top w:w="80" w:type="dxa"/>
              <w:bottom w:w="80" w:type="dxa"/>
              <w:left w:w="100" w:type="dxa"/>
              <w:right w:w="100" w:type="dxa"/>
            </w:tcMar>
            <w:shd w:fill="FFF1F2"/>
          </w:tcPr>
          <w:p>
            <w:r>
              <w:rPr>
                <w:b/>
                <w:color w:val="E11D48"/>
              </w:rPr>
              <w:t>Emergency Case Feeds</w:t>
            </w:r>
          </w:p>
        </w:tc>
        <w:tc>
          <w:tcPr>
            <w:tcW w:type="dxa" w:w="3312"/>
            <w:tcMar>
              <w:top w:w="80" w:type="dxa"/>
              <w:bottom w:w="80" w:type="dxa"/>
              <w:left w:w="100" w:type="dxa"/>
              <w:right w:w="100" w:type="dxa"/>
            </w:tcMar>
            <w:shd w:fill="F8FAFC"/>
          </w:tcPr>
          <w:p>
            <w:r>
              <w:t>Live portal displaying active cases categorized by urgency (&lt; 2 hrs, 24 hrs, planned).</w:t>
            </w:r>
          </w:p>
        </w:tc>
        <w:tc>
          <w:tcPr>
            <w:tcW w:type="dxa" w:w="3312"/>
            <w:tcMar>
              <w:top w:w="80" w:type="dxa"/>
              <w:bottom w:w="80" w:type="dxa"/>
              <w:left w:w="100" w:type="dxa"/>
              <w:right w:w="100" w:type="dxa"/>
            </w:tcMar>
            <w:shd w:fill="F8FAFC"/>
          </w:tcPr>
          <w:p>
            <w:r>
              <w:t>Prevents duplicate broadcasts and triages severe cases.</w:t>
            </w:r>
          </w:p>
        </w:tc>
      </w:tr>
      <w:tr>
        <w:tc>
          <w:tcPr>
            <w:tcW w:type="dxa" w:w="3312"/>
            <w:tcMar>
              <w:top w:w="80" w:type="dxa"/>
              <w:bottom w:w="80" w:type="dxa"/>
              <w:left w:w="100" w:type="dxa"/>
              <w:right w:w="100" w:type="dxa"/>
            </w:tcMar>
            <w:shd w:fill="FFF1F2"/>
          </w:tcPr>
          <w:p>
            <w:r>
              <w:rPr>
                <w:b/>
                <w:color w:val="E11D48"/>
              </w:rPr>
              <w:t>Compatibility Matrix</w:t>
            </w:r>
          </w:p>
        </w:tc>
        <w:tc>
          <w:tcPr>
            <w:tcW w:type="dxa" w:w="3312"/>
            <w:tcMar>
              <w:top w:w="80" w:type="dxa"/>
              <w:bottom w:w="80" w:type="dxa"/>
              <w:left w:w="100" w:type="dxa"/>
              <w:right w:w="100" w:type="dxa"/>
            </w:tcMar>
            <w:shd w:fill="F8FAFC"/>
          </w:tcPr>
          <w:p>
            <w:r>
              <w:t>Interactive matrix visualizing whole blood and PRBC donor-recipient compatibility rules.</w:t>
            </w:r>
          </w:p>
        </w:tc>
        <w:tc>
          <w:tcPr>
            <w:tcW w:type="dxa" w:w="3312"/>
            <w:tcMar>
              <w:top w:w="80" w:type="dxa"/>
              <w:bottom w:w="80" w:type="dxa"/>
              <w:left w:w="100" w:type="dxa"/>
              <w:right w:w="100" w:type="dxa"/>
            </w:tcMar>
            <w:shd w:fill="F8FAFC"/>
          </w:tcPr>
          <w:p>
            <w:r>
              <w:t>Eliminates dangerous ABO transfusion mismatches.</w:t>
            </w:r>
          </w:p>
        </w:tc>
      </w:tr>
      <w:tr>
        <w:tc>
          <w:tcPr>
            <w:tcW w:type="dxa" w:w="3312"/>
            <w:tcMar>
              <w:top w:w="80" w:type="dxa"/>
              <w:bottom w:w="80" w:type="dxa"/>
              <w:left w:w="100" w:type="dxa"/>
              <w:right w:w="100" w:type="dxa"/>
            </w:tcMar>
            <w:shd w:fill="FFF1F2"/>
          </w:tcPr>
          <w:p>
            <w:r>
              <w:rPr>
                <w:b/>
                <w:color w:val="E11D48"/>
              </w:rPr>
              <w:t>Live Dispatch Tracker</w:t>
            </w:r>
          </w:p>
        </w:tc>
        <w:tc>
          <w:tcPr>
            <w:tcW w:type="dxa" w:w="3312"/>
            <w:tcMar>
              <w:top w:w="80" w:type="dxa"/>
              <w:bottom w:w="80" w:type="dxa"/>
              <w:left w:w="100" w:type="dxa"/>
              <w:right w:w="100" w:type="dxa"/>
            </w:tcMar>
            <w:shd w:fill="F8FAFC"/>
          </w:tcPr>
          <w:p>
            <w:r>
              <w:t>Visual timeline progression from 'Request Logged' to 'Units Transfused' with map pins.</w:t>
            </w:r>
          </w:p>
        </w:tc>
        <w:tc>
          <w:tcPr>
            <w:tcW w:type="dxa" w:w="3312"/>
            <w:tcMar>
              <w:top w:w="80" w:type="dxa"/>
              <w:bottom w:w="80" w:type="dxa"/>
              <w:left w:w="100" w:type="dxa"/>
              <w:right w:w="100" w:type="dxa"/>
            </w:tcMar>
            <w:shd w:fill="F8FAFC"/>
          </w:tcPr>
          <w:p>
            <w:r>
              <w:t>Full transparency for anxious family members and doctors.</w:t>
            </w:r>
          </w:p>
        </w:tc>
      </w:tr>
      <w:tr>
        <w:tc>
          <w:tcPr>
            <w:tcW w:type="dxa" w:w="3312"/>
            <w:tcMar>
              <w:top w:w="80" w:type="dxa"/>
              <w:bottom w:w="80" w:type="dxa"/>
              <w:left w:w="100" w:type="dxa"/>
              <w:right w:w="100" w:type="dxa"/>
            </w:tcMar>
            <w:shd w:fill="FFF1F2"/>
          </w:tcPr>
          <w:p>
            <w:r>
              <w:rPr>
                <w:b/>
                <w:color w:val="E11D48"/>
              </w:rPr>
              <w:t>Lifedrop AI Assistant</w:t>
            </w:r>
          </w:p>
        </w:tc>
        <w:tc>
          <w:tcPr>
            <w:tcW w:type="dxa" w:w="3312"/>
            <w:tcMar>
              <w:top w:w="80" w:type="dxa"/>
              <w:bottom w:w="80" w:type="dxa"/>
              <w:left w:w="100" w:type="dxa"/>
              <w:right w:w="100" w:type="dxa"/>
            </w:tcMar>
            <w:shd w:fill="F8FAFC"/>
          </w:tcPr>
          <w:p>
            <w:r>
              <w:t>Rule-based and NLP triage bot providing instant emergency guidance and registration.</w:t>
            </w:r>
          </w:p>
        </w:tc>
        <w:tc>
          <w:tcPr>
            <w:tcW w:type="dxa" w:w="3312"/>
            <w:tcMar>
              <w:top w:w="80" w:type="dxa"/>
              <w:bottom w:w="80" w:type="dxa"/>
              <w:left w:w="100" w:type="dxa"/>
              <w:right w:w="100" w:type="dxa"/>
            </w:tcMar>
            <w:shd w:fill="F8FAFC"/>
          </w:tcPr>
          <w:p>
            <w:r>
              <w:t>24/7 autonomous support without human dispatcher delay.</w:t>
            </w:r>
          </w:p>
        </w:tc>
      </w:tr>
    </w:tbl>
    <w:p>
      <w:pPr>
        <w:keepNext/>
        <w:spacing w:before="200" w:after="40"/>
      </w:pPr>
      <w:r>
        <w:rPr>
          <w:rFonts w:ascii="Arial" w:hAnsi="Arial"/>
          <w:b/>
          <w:color w:val="1E293B"/>
          <w:sz w:val="23"/>
        </w:rPr>
        <w:t>2.2 Digital Hero Pass &amp; Donor Engagement</w:t>
      </w:r>
    </w:p>
    <w:p>
      <w:pPr>
        <w:spacing w:after="80" w:line="276" w:lineRule="auto"/>
      </w:pPr>
      <w:r>
        <w:rPr>
          <w:rFonts w:ascii="Calibri" w:hAnsi="Calibri"/>
          <w:color w:val="334155"/>
          <w:sz w:val="20"/>
        </w:rPr>
        <w:t>To foster a culture of voluntary donation, Lifedrop generates dynamic 'Hero Passes' for registered donors. Each pass features donor blood type, donation verification badges, emergency availability toggles, and direct contact protocols. Donors receive recognition certificates upon completing verified donations at partner healthcare centres.</w:t>
      </w:r>
    </w:p>
    <w:p>
      <w:r>
        <w:br w:type="page"/>
      </w:r>
    </w:p>
    <w:p>
      <w:pPr>
        <w:keepNext/>
        <w:spacing w:before="280" w:after="80"/>
      </w:pPr>
      <w:r>
        <w:rPr>
          <w:rFonts w:ascii="Arial" w:hAnsi="Arial"/>
          <w:b/>
          <w:color w:val="E11D48"/>
          <w:sz w:val="28"/>
        </w:rPr>
        <w:t>3. Blood Compatibility &amp; Intelligent Matching Algorithm</w:t>
      </w:r>
    </w:p>
    <w:p>
      <w:pPr>
        <w:spacing w:after="80" w:line="276" w:lineRule="auto"/>
      </w:pPr>
      <w:r>
        <w:rPr>
          <w:rFonts w:ascii="Calibri" w:hAnsi="Calibri"/>
          <w:color w:val="334155"/>
          <w:sz w:val="20"/>
        </w:rPr>
        <w:t>Transfusion medicine requires absolute precision. Administering ABO-incompatible blood results in acute hemolytic transfusion reactions (AHTR), which can be fatal. Lifedrop embeds strict immunohematology algorithms to ensure only clinically compatible donors are surfaced during emergencies.</w:t>
      </w:r>
    </w:p>
    <w:p>
      <w:pPr>
        <w:keepNext/>
        <w:spacing w:before="200" w:after="40"/>
      </w:pPr>
      <w:r>
        <w:rPr>
          <w:rFonts w:ascii="Arial" w:hAnsi="Arial"/>
          <w:b/>
          <w:color w:val="1E293B"/>
          <w:sz w:val="23"/>
        </w:rPr>
        <w:t>3.1 ABO and Rh Factor Compatibility Matrix</w:t>
      </w:r>
    </w:p>
    <w:tbl>
      <w:tblPr>
        <w:tblW w:type="auto" w:w="0"/>
        <w:jc w:val="center"/>
        <w:tblLook w:firstColumn="1" w:firstRow="1" w:lastColumn="0" w:lastRow="0" w:noHBand="0" w:noVBand="1" w:val="04A0"/>
      </w:tblPr>
      <w:tblGrid>
        <w:gridCol w:w="2484"/>
        <w:gridCol w:w="2484"/>
        <w:gridCol w:w="2484"/>
        <w:gridCol w:w="2484"/>
      </w:tblGrid>
      <w:tr>
        <w:tc>
          <w:tcPr>
            <w:tcW w:type="dxa" w:w="2484"/>
            <w:tcMar>
              <w:top w:w="70" w:type="dxa"/>
              <w:bottom w:w="70" w:type="dxa"/>
              <w:left w:w="90" w:type="dxa"/>
              <w:right w:w="90" w:type="dxa"/>
            </w:tcMar>
            <w:shd w:fill="0F172A"/>
          </w:tcPr>
          <w:p>
            <w:r>
              <w:rPr>
                <w:rFonts w:ascii="Arial" w:hAnsi="Arial"/>
                <w:b/>
                <w:color w:val="FFFFFF"/>
                <w:sz w:val="18"/>
              </w:rPr>
              <w:t>Blood Group</w:t>
            </w:r>
          </w:p>
        </w:tc>
        <w:tc>
          <w:tcPr>
            <w:tcW w:type="dxa" w:w="2484"/>
            <w:tcMar>
              <w:top w:w="70" w:type="dxa"/>
              <w:bottom w:w="70" w:type="dxa"/>
              <w:left w:w="90" w:type="dxa"/>
              <w:right w:w="90" w:type="dxa"/>
            </w:tcMar>
            <w:shd w:fill="0F172A"/>
          </w:tcPr>
          <w:p>
            <w:r>
              <w:rPr>
                <w:rFonts w:ascii="Arial" w:hAnsi="Arial"/>
                <w:b/>
                <w:color w:val="FFFFFF"/>
                <w:sz w:val="18"/>
              </w:rPr>
              <w:t>Antigens Present</w:t>
            </w:r>
          </w:p>
        </w:tc>
        <w:tc>
          <w:tcPr>
            <w:tcW w:type="dxa" w:w="2484"/>
            <w:tcMar>
              <w:top w:w="70" w:type="dxa"/>
              <w:bottom w:w="70" w:type="dxa"/>
              <w:left w:w="90" w:type="dxa"/>
              <w:right w:w="90" w:type="dxa"/>
            </w:tcMar>
            <w:shd w:fill="0F172A"/>
          </w:tcPr>
          <w:p>
            <w:r>
              <w:rPr>
                <w:rFonts w:ascii="Arial" w:hAnsi="Arial"/>
                <w:b/>
                <w:color w:val="FFFFFF"/>
                <w:sz w:val="18"/>
              </w:rPr>
              <w:t>Can Receive Packed Cells From</w:t>
            </w:r>
          </w:p>
        </w:tc>
        <w:tc>
          <w:tcPr>
            <w:tcW w:type="dxa" w:w="2484"/>
            <w:tcMar>
              <w:top w:w="70" w:type="dxa"/>
              <w:bottom w:w="70" w:type="dxa"/>
              <w:left w:w="90" w:type="dxa"/>
              <w:right w:w="90" w:type="dxa"/>
            </w:tcMar>
            <w:shd w:fill="0F172A"/>
          </w:tcPr>
          <w:p>
            <w:r>
              <w:rPr>
                <w:rFonts w:ascii="Arial" w:hAnsi="Arial"/>
                <w:b/>
                <w:color w:val="FFFFFF"/>
                <w:sz w:val="18"/>
              </w:rPr>
              <w:t>Can Donate Packed Cells To</w:t>
            </w:r>
          </w:p>
        </w:tc>
      </w:tr>
      <w:tr>
        <w:tc>
          <w:tcPr>
            <w:tcW w:type="dxa" w:w="2484"/>
            <w:tcMar>
              <w:top w:w="70" w:type="dxa"/>
              <w:bottom w:w="70" w:type="dxa"/>
              <w:left w:w="90" w:type="dxa"/>
              <w:right w:w="90" w:type="dxa"/>
            </w:tcMar>
            <w:shd w:fill="FFF1F2"/>
          </w:tcPr>
          <w:p>
            <w:r>
              <w:rPr>
                <w:b/>
                <w:color w:val="E11D48"/>
              </w:rPr>
              <w:t>O-</w:t>
            </w:r>
          </w:p>
        </w:tc>
        <w:tc>
          <w:tcPr>
            <w:tcW w:type="dxa" w:w="2484"/>
            <w:tcMar>
              <w:top w:w="70" w:type="dxa"/>
              <w:bottom w:w="70" w:type="dxa"/>
              <w:left w:w="90" w:type="dxa"/>
              <w:right w:w="90" w:type="dxa"/>
            </w:tcMar>
            <w:shd w:fill="F8FAFC"/>
          </w:tcPr>
          <w:p>
            <w:r>
              <w:t>None (No A, B, or Rh)</w:t>
            </w:r>
          </w:p>
        </w:tc>
        <w:tc>
          <w:tcPr>
            <w:tcW w:type="dxa" w:w="2484"/>
            <w:tcMar>
              <w:top w:w="70" w:type="dxa"/>
              <w:bottom w:w="70" w:type="dxa"/>
              <w:left w:w="90" w:type="dxa"/>
              <w:right w:w="90" w:type="dxa"/>
            </w:tcMar>
            <w:shd w:fill="F8FAFC"/>
          </w:tcPr>
          <w:p>
            <w:r>
              <w:t>O- Only</w:t>
            </w:r>
          </w:p>
        </w:tc>
        <w:tc>
          <w:tcPr>
            <w:tcW w:type="dxa" w:w="2484"/>
            <w:tcMar>
              <w:top w:w="70" w:type="dxa"/>
              <w:bottom w:w="70" w:type="dxa"/>
              <w:left w:w="90" w:type="dxa"/>
              <w:right w:w="90" w:type="dxa"/>
            </w:tcMar>
            <w:shd w:fill="F8FAFC"/>
          </w:tcPr>
          <w:p>
            <w:r>
              <w:t>ALL Groups (Universal Donor)</w:t>
            </w:r>
          </w:p>
        </w:tc>
      </w:tr>
      <w:tr>
        <w:tc>
          <w:tcPr>
            <w:tcW w:type="dxa" w:w="2484"/>
            <w:tcMar>
              <w:top w:w="70" w:type="dxa"/>
              <w:bottom w:w="70" w:type="dxa"/>
              <w:left w:w="90" w:type="dxa"/>
              <w:right w:w="90" w:type="dxa"/>
            </w:tcMar>
            <w:shd w:fill="F8FAFC"/>
          </w:tcPr>
          <w:p>
            <w:r>
              <w:rPr>
                <w:b/>
                <w:color w:val="E11D48"/>
              </w:rPr>
              <w:t>O+</w:t>
            </w:r>
          </w:p>
        </w:tc>
        <w:tc>
          <w:tcPr>
            <w:tcW w:type="dxa" w:w="2484"/>
            <w:tcMar>
              <w:top w:w="70" w:type="dxa"/>
              <w:bottom w:w="70" w:type="dxa"/>
              <w:left w:w="90" w:type="dxa"/>
              <w:right w:w="90" w:type="dxa"/>
            </w:tcMar>
            <w:shd w:fill="F8FAFC"/>
          </w:tcPr>
          <w:p>
            <w:r>
              <w:t>Rh Factor</w:t>
            </w:r>
          </w:p>
        </w:tc>
        <w:tc>
          <w:tcPr>
            <w:tcW w:type="dxa" w:w="2484"/>
            <w:tcMar>
              <w:top w:w="70" w:type="dxa"/>
              <w:bottom w:w="70" w:type="dxa"/>
              <w:left w:w="90" w:type="dxa"/>
              <w:right w:w="90" w:type="dxa"/>
            </w:tcMar>
            <w:shd w:fill="F8FAFC"/>
          </w:tcPr>
          <w:p>
            <w:r>
              <w:t>O+, O-</w:t>
            </w:r>
          </w:p>
        </w:tc>
        <w:tc>
          <w:tcPr>
            <w:tcW w:type="dxa" w:w="2484"/>
            <w:tcMar>
              <w:top w:w="70" w:type="dxa"/>
              <w:bottom w:w="70" w:type="dxa"/>
              <w:left w:w="90" w:type="dxa"/>
              <w:right w:w="90" w:type="dxa"/>
            </w:tcMar>
            <w:shd w:fill="F8FAFC"/>
          </w:tcPr>
          <w:p>
            <w:r>
              <w:t>O+, A+, B+, AB+</w:t>
            </w:r>
          </w:p>
        </w:tc>
      </w:tr>
      <w:tr>
        <w:tc>
          <w:tcPr>
            <w:tcW w:type="dxa" w:w="2484"/>
            <w:tcMar>
              <w:top w:w="70" w:type="dxa"/>
              <w:bottom w:w="70" w:type="dxa"/>
              <w:left w:w="90" w:type="dxa"/>
              <w:right w:w="90" w:type="dxa"/>
            </w:tcMar>
            <w:shd w:fill="F8FAFC"/>
          </w:tcPr>
          <w:p>
            <w:r>
              <w:rPr>
                <w:b/>
                <w:color w:val="E11D48"/>
              </w:rPr>
              <w:t>A-</w:t>
            </w:r>
          </w:p>
        </w:tc>
        <w:tc>
          <w:tcPr>
            <w:tcW w:type="dxa" w:w="2484"/>
            <w:tcMar>
              <w:top w:w="70" w:type="dxa"/>
              <w:bottom w:w="70" w:type="dxa"/>
              <w:left w:w="90" w:type="dxa"/>
              <w:right w:w="90" w:type="dxa"/>
            </w:tcMar>
            <w:shd w:fill="F8FAFC"/>
          </w:tcPr>
          <w:p>
            <w:r>
              <w:t>A Antigen</w:t>
            </w:r>
          </w:p>
        </w:tc>
        <w:tc>
          <w:tcPr>
            <w:tcW w:type="dxa" w:w="2484"/>
            <w:tcMar>
              <w:top w:w="70" w:type="dxa"/>
              <w:bottom w:w="70" w:type="dxa"/>
              <w:left w:w="90" w:type="dxa"/>
              <w:right w:w="90" w:type="dxa"/>
            </w:tcMar>
            <w:shd w:fill="F8FAFC"/>
          </w:tcPr>
          <w:p>
            <w:r>
              <w:t>A-, O-</w:t>
            </w:r>
          </w:p>
        </w:tc>
        <w:tc>
          <w:tcPr>
            <w:tcW w:type="dxa" w:w="2484"/>
            <w:tcMar>
              <w:top w:w="70" w:type="dxa"/>
              <w:bottom w:w="70" w:type="dxa"/>
              <w:left w:w="90" w:type="dxa"/>
              <w:right w:w="90" w:type="dxa"/>
            </w:tcMar>
            <w:shd w:fill="F8FAFC"/>
          </w:tcPr>
          <w:p>
            <w:r>
              <w:t>A-, A+, AB-, AB+</w:t>
            </w:r>
          </w:p>
        </w:tc>
      </w:tr>
      <w:tr>
        <w:tc>
          <w:tcPr>
            <w:tcW w:type="dxa" w:w="2484"/>
            <w:tcMar>
              <w:top w:w="70" w:type="dxa"/>
              <w:bottom w:w="70" w:type="dxa"/>
              <w:left w:w="90" w:type="dxa"/>
              <w:right w:w="90" w:type="dxa"/>
            </w:tcMar>
            <w:shd w:fill="F8FAFC"/>
          </w:tcPr>
          <w:p>
            <w:r>
              <w:rPr>
                <w:b/>
                <w:color w:val="E11D48"/>
              </w:rPr>
              <w:t>A+</w:t>
            </w:r>
          </w:p>
        </w:tc>
        <w:tc>
          <w:tcPr>
            <w:tcW w:type="dxa" w:w="2484"/>
            <w:tcMar>
              <w:top w:w="70" w:type="dxa"/>
              <w:bottom w:w="70" w:type="dxa"/>
              <w:left w:w="90" w:type="dxa"/>
              <w:right w:w="90" w:type="dxa"/>
            </w:tcMar>
            <w:shd w:fill="F8FAFC"/>
          </w:tcPr>
          <w:p>
            <w:r>
              <w:t>A Antigen &amp; Rh</w:t>
            </w:r>
          </w:p>
        </w:tc>
        <w:tc>
          <w:tcPr>
            <w:tcW w:type="dxa" w:w="2484"/>
            <w:tcMar>
              <w:top w:w="70" w:type="dxa"/>
              <w:bottom w:w="70" w:type="dxa"/>
              <w:left w:w="90" w:type="dxa"/>
              <w:right w:w="90" w:type="dxa"/>
            </w:tcMar>
            <w:shd w:fill="F8FAFC"/>
          </w:tcPr>
          <w:p>
            <w:r>
              <w:t>A+, A-, O+, O-</w:t>
            </w:r>
          </w:p>
        </w:tc>
        <w:tc>
          <w:tcPr>
            <w:tcW w:type="dxa" w:w="2484"/>
            <w:tcMar>
              <w:top w:w="70" w:type="dxa"/>
              <w:bottom w:w="70" w:type="dxa"/>
              <w:left w:w="90" w:type="dxa"/>
              <w:right w:w="90" w:type="dxa"/>
            </w:tcMar>
            <w:shd w:fill="F8FAFC"/>
          </w:tcPr>
          <w:p>
            <w:r>
              <w:t>A+, AB+</w:t>
            </w:r>
          </w:p>
        </w:tc>
      </w:tr>
      <w:tr>
        <w:tc>
          <w:tcPr>
            <w:tcW w:type="dxa" w:w="2484"/>
            <w:tcMar>
              <w:top w:w="70" w:type="dxa"/>
              <w:bottom w:w="70" w:type="dxa"/>
              <w:left w:w="90" w:type="dxa"/>
              <w:right w:w="90" w:type="dxa"/>
            </w:tcMar>
            <w:shd w:fill="F8FAFC"/>
          </w:tcPr>
          <w:p>
            <w:r>
              <w:rPr>
                <w:b/>
                <w:color w:val="E11D48"/>
              </w:rPr>
              <w:t>B-</w:t>
            </w:r>
          </w:p>
        </w:tc>
        <w:tc>
          <w:tcPr>
            <w:tcW w:type="dxa" w:w="2484"/>
            <w:tcMar>
              <w:top w:w="70" w:type="dxa"/>
              <w:bottom w:w="70" w:type="dxa"/>
              <w:left w:w="90" w:type="dxa"/>
              <w:right w:w="90" w:type="dxa"/>
            </w:tcMar>
            <w:shd w:fill="F8FAFC"/>
          </w:tcPr>
          <w:p>
            <w:r>
              <w:t>B Antigen</w:t>
            </w:r>
          </w:p>
        </w:tc>
        <w:tc>
          <w:tcPr>
            <w:tcW w:type="dxa" w:w="2484"/>
            <w:tcMar>
              <w:top w:w="70" w:type="dxa"/>
              <w:bottom w:w="70" w:type="dxa"/>
              <w:left w:w="90" w:type="dxa"/>
              <w:right w:w="90" w:type="dxa"/>
            </w:tcMar>
            <w:shd w:fill="F8FAFC"/>
          </w:tcPr>
          <w:p>
            <w:r>
              <w:t>B-, O-</w:t>
            </w:r>
          </w:p>
        </w:tc>
        <w:tc>
          <w:tcPr>
            <w:tcW w:type="dxa" w:w="2484"/>
            <w:tcMar>
              <w:top w:w="70" w:type="dxa"/>
              <w:bottom w:w="70" w:type="dxa"/>
              <w:left w:w="90" w:type="dxa"/>
              <w:right w:w="90" w:type="dxa"/>
            </w:tcMar>
            <w:shd w:fill="F8FAFC"/>
          </w:tcPr>
          <w:p>
            <w:r>
              <w:t>B-, B+, AB-, AB+</w:t>
            </w:r>
          </w:p>
        </w:tc>
      </w:tr>
      <w:tr>
        <w:tc>
          <w:tcPr>
            <w:tcW w:type="dxa" w:w="2484"/>
            <w:tcMar>
              <w:top w:w="70" w:type="dxa"/>
              <w:bottom w:w="70" w:type="dxa"/>
              <w:left w:w="90" w:type="dxa"/>
              <w:right w:w="90" w:type="dxa"/>
            </w:tcMar>
            <w:shd w:fill="F8FAFC"/>
          </w:tcPr>
          <w:p>
            <w:r>
              <w:rPr>
                <w:b/>
                <w:color w:val="E11D48"/>
              </w:rPr>
              <w:t>B+</w:t>
            </w:r>
          </w:p>
        </w:tc>
        <w:tc>
          <w:tcPr>
            <w:tcW w:type="dxa" w:w="2484"/>
            <w:tcMar>
              <w:top w:w="70" w:type="dxa"/>
              <w:bottom w:w="70" w:type="dxa"/>
              <w:left w:w="90" w:type="dxa"/>
              <w:right w:w="90" w:type="dxa"/>
            </w:tcMar>
            <w:shd w:fill="F8FAFC"/>
          </w:tcPr>
          <w:p>
            <w:r>
              <w:t>B Antigen &amp; Rh</w:t>
            </w:r>
          </w:p>
        </w:tc>
        <w:tc>
          <w:tcPr>
            <w:tcW w:type="dxa" w:w="2484"/>
            <w:tcMar>
              <w:top w:w="70" w:type="dxa"/>
              <w:bottom w:w="70" w:type="dxa"/>
              <w:left w:w="90" w:type="dxa"/>
              <w:right w:w="90" w:type="dxa"/>
            </w:tcMar>
            <w:shd w:fill="F8FAFC"/>
          </w:tcPr>
          <w:p>
            <w:r>
              <w:t>B+, B-, O+, O-</w:t>
            </w:r>
          </w:p>
        </w:tc>
        <w:tc>
          <w:tcPr>
            <w:tcW w:type="dxa" w:w="2484"/>
            <w:tcMar>
              <w:top w:w="70" w:type="dxa"/>
              <w:bottom w:w="70" w:type="dxa"/>
              <w:left w:w="90" w:type="dxa"/>
              <w:right w:w="90" w:type="dxa"/>
            </w:tcMar>
            <w:shd w:fill="F8FAFC"/>
          </w:tcPr>
          <w:p>
            <w:r>
              <w:t>B+, AB+</w:t>
            </w:r>
          </w:p>
        </w:tc>
      </w:tr>
      <w:tr>
        <w:tc>
          <w:tcPr>
            <w:tcW w:type="dxa" w:w="2484"/>
            <w:tcMar>
              <w:top w:w="70" w:type="dxa"/>
              <w:bottom w:w="70" w:type="dxa"/>
              <w:left w:w="90" w:type="dxa"/>
              <w:right w:w="90" w:type="dxa"/>
            </w:tcMar>
            <w:shd w:fill="F8FAFC"/>
          </w:tcPr>
          <w:p>
            <w:r>
              <w:rPr>
                <w:b/>
                <w:color w:val="E11D48"/>
              </w:rPr>
              <w:t>AB-</w:t>
            </w:r>
          </w:p>
        </w:tc>
        <w:tc>
          <w:tcPr>
            <w:tcW w:type="dxa" w:w="2484"/>
            <w:tcMar>
              <w:top w:w="70" w:type="dxa"/>
              <w:bottom w:w="70" w:type="dxa"/>
              <w:left w:w="90" w:type="dxa"/>
              <w:right w:w="90" w:type="dxa"/>
            </w:tcMar>
            <w:shd w:fill="F8FAFC"/>
          </w:tcPr>
          <w:p>
            <w:r>
              <w:t>A and B Antigens</w:t>
            </w:r>
          </w:p>
        </w:tc>
        <w:tc>
          <w:tcPr>
            <w:tcW w:type="dxa" w:w="2484"/>
            <w:tcMar>
              <w:top w:w="70" w:type="dxa"/>
              <w:bottom w:w="70" w:type="dxa"/>
              <w:left w:w="90" w:type="dxa"/>
              <w:right w:w="90" w:type="dxa"/>
            </w:tcMar>
            <w:shd w:fill="F8FAFC"/>
          </w:tcPr>
          <w:p>
            <w:r>
              <w:t>AB-, A-, B-, O-</w:t>
            </w:r>
          </w:p>
        </w:tc>
        <w:tc>
          <w:tcPr>
            <w:tcW w:type="dxa" w:w="2484"/>
            <w:tcMar>
              <w:top w:w="70" w:type="dxa"/>
              <w:bottom w:w="70" w:type="dxa"/>
              <w:left w:w="90" w:type="dxa"/>
              <w:right w:w="90" w:type="dxa"/>
            </w:tcMar>
            <w:shd w:fill="F8FAFC"/>
          </w:tcPr>
          <w:p>
            <w:r>
              <w:t>AB-, AB+</w:t>
            </w:r>
          </w:p>
        </w:tc>
      </w:tr>
      <w:tr>
        <w:tc>
          <w:tcPr>
            <w:tcW w:type="dxa" w:w="2484"/>
            <w:tcMar>
              <w:top w:w="70" w:type="dxa"/>
              <w:bottom w:w="70" w:type="dxa"/>
              <w:left w:w="90" w:type="dxa"/>
              <w:right w:w="90" w:type="dxa"/>
            </w:tcMar>
            <w:shd w:fill="FFF1F2"/>
          </w:tcPr>
          <w:p>
            <w:r>
              <w:rPr>
                <w:b/>
                <w:color w:val="E11D48"/>
              </w:rPr>
              <w:t>AB+</w:t>
            </w:r>
          </w:p>
        </w:tc>
        <w:tc>
          <w:tcPr>
            <w:tcW w:type="dxa" w:w="2484"/>
            <w:tcMar>
              <w:top w:w="70" w:type="dxa"/>
              <w:bottom w:w="70" w:type="dxa"/>
              <w:left w:w="90" w:type="dxa"/>
              <w:right w:w="90" w:type="dxa"/>
            </w:tcMar>
            <w:shd w:fill="F8FAFC"/>
          </w:tcPr>
          <w:p>
            <w:r>
              <w:t>A, B &amp; Rh Antigens</w:t>
            </w:r>
          </w:p>
        </w:tc>
        <w:tc>
          <w:tcPr>
            <w:tcW w:type="dxa" w:w="2484"/>
            <w:tcMar>
              <w:top w:w="70" w:type="dxa"/>
              <w:bottom w:w="70" w:type="dxa"/>
              <w:left w:w="90" w:type="dxa"/>
              <w:right w:w="90" w:type="dxa"/>
            </w:tcMar>
            <w:shd w:fill="F8FAFC"/>
          </w:tcPr>
          <w:p>
            <w:r>
              <w:t>ALL Groups (Universal Recipient)</w:t>
            </w:r>
          </w:p>
        </w:tc>
        <w:tc>
          <w:tcPr>
            <w:tcW w:type="dxa" w:w="2484"/>
            <w:tcMar>
              <w:top w:w="70" w:type="dxa"/>
              <w:bottom w:w="70" w:type="dxa"/>
              <w:left w:w="90" w:type="dxa"/>
              <w:right w:w="90" w:type="dxa"/>
            </w:tcMar>
            <w:shd w:fill="F8FAFC"/>
          </w:tcPr>
          <w:p>
            <w:r>
              <w:t>AB+ Only</w:t>
            </w:r>
          </w:p>
        </w:tc>
      </w:tr>
    </w:tbl>
    <w:p>
      <w:pPr>
        <w:keepNext/>
        <w:spacing w:before="200" w:after="40"/>
      </w:pPr>
      <w:r>
        <w:rPr>
          <w:rFonts w:ascii="Arial" w:hAnsi="Arial"/>
          <w:b/>
          <w:color w:val="1E293B"/>
          <w:sz w:val="23"/>
        </w:rPr>
        <w:t>3.2 Match Ranking &amp; Geo-Proximity Weighting</w:t>
      </w:r>
    </w:p>
    <w:p>
      <w:pPr>
        <w:spacing w:after="80" w:line="276" w:lineRule="auto"/>
      </w:pPr>
      <w:r>
        <w:rPr>
          <w:rFonts w:ascii="Calibri" w:hAnsi="Calibri"/>
          <w:color w:val="334155"/>
          <w:sz w:val="20"/>
        </w:rPr>
        <w:t>When an emergency request is logged, Lifedrop executes a weighted ranking query: Rank = (Exact Match × 1.0 + Compatible Match × 0.7) × (City Proximity Weight) × (Live Availability Multiplier). This ensures exact ABO/Rh matches within the patient's immediate vicinity (e.g., McGann Hospital, Shivamogga) receive top notification priority.</w:t>
      </w:r>
    </w:p>
    <w:p>
      <w:r>
        <w:br w:type="page"/>
      </w:r>
    </w:p>
    <w:p>
      <w:pPr>
        <w:keepNext/>
        <w:spacing w:before="280" w:after="80"/>
      </w:pPr>
      <w:r>
        <w:rPr>
          <w:rFonts w:ascii="Arial" w:hAnsi="Arial"/>
          <w:b/>
          <w:color w:val="E11D48"/>
          <w:sz w:val="28"/>
        </w:rPr>
        <w:t>4. Technical Implementation &amp; Database Schema</w:t>
      </w:r>
    </w:p>
    <w:p>
      <w:pPr>
        <w:spacing w:after="80" w:line="276" w:lineRule="auto"/>
      </w:pPr>
      <w:r>
        <w:rPr>
          <w:rFonts w:ascii="Calibri" w:hAnsi="Calibri"/>
          <w:color w:val="334155"/>
          <w:sz w:val="20"/>
        </w:rPr>
        <w:t>Lifedrop is engineered with high resilience and zero unnecessary overhead. It utilizes Python Flask for backend services and SQLite for persistent relational data, alongside a hybrid local storage synchronization engine that permits full offline operation.</w:t>
      </w:r>
    </w:p>
    <w:p>
      <w:pPr>
        <w:keepNext/>
        <w:spacing w:before="200" w:after="40"/>
      </w:pPr>
      <w:r>
        <w:rPr>
          <w:rFonts w:ascii="Arial" w:hAnsi="Arial"/>
          <w:b/>
          <w:color w:val="1E293B"/>
          <w:sz w:val="23"/>
        </w:rPr>
        <w:t>4.1 Relational Database Architecture (SQLite3)</w:t>
      </w:r>
    </w:p>
    <w:p>
      <w:pPr>
        <w:spacing w:after="80" w:line="276" w:lineRule="auto"/>
      </w:pPr>
      <w:r>
        <w:rPr>
          <w:rFonts w:ascii="Calibri" w:hAnsi="Calibri"/>
          <w:color w:val="334155"/>
          <w:sz w:val="20"/>
        </w:rPr>
        <w:t>The database schema encompasses three primary entities designed for high query performance and integrity:</w:t>
      </w:r>
    </w:p>
    <w:tbl>
      <w:tblPr>
        <w:tblW w:type="auto" w:w="0"/>
        <w:jc w:val="center"/>
        <w:tblLook w:firstColumn="1" w:firstRow="1" w:lastColumn="0" w:lastRow="0" w:noHBand="0" w:noVBand="1" w:val="04A0"/>
      </w:tblPr>
      <w:tblGrid>
        <w:gridCol w:w="3312"/>
        <w:gridCol w:w="3312"/>
        <w:gridCol w:w="3312"/>
      </w:tblGrid>
      <w:tr>
        <w:tc>
          <w:tcPr>
            <w:tcW w:type="dxa" w:w="3312"/>
            <w:tcMar>
              <w:top w:w="70" w:type="dxa"/>
              <w:bottom w:w="70" w:type="dxa"/>
              <w:left w:w="90" w:type="dxa"/>
              <w:right w:w="90" w:type="dxa"/>
            </w:tcMar>
            <w:shd w:fill="0F172A"/>
          </w:tcPr>
          <w:p>
            <w:r>
              <w:rPr>
                <w:rFonts w:ascii="Arial" w:hAnsi="Arial"/>
                <w:b/>
                <w:color w:val="FFFFFF"/>
                <w:sz w:val="18"/>
              </w:rPr>
              <w:t>Table Name</w:t>
            </w:r>
          </w:p>
        </w:tc>
        <w:tc>
          <w:tcPr>
            <w:tcW w:type="dxa" w:w="3312"/>
            <w:tcMar>
              <w:top w:w="70" w:type="dxa"/>
              <w:bottom w:w="70" w:type="dxa"/>
              <w:left w:w="90" w:type="dxa"/>
              <w:right w:w="90" w:type="dxa"/>
            </w:tcMar>
            <w:shd w:fill="0F172A"/>
          </w:tcPr>
          <w:p>
            <w:r>
              <w:rPr>
                <w:rFonts w:ascii="Arial" w:hAnsi="Arial"/>
                <w:b/>
                <w:color w:val="FFFFFF"/>
                <w:sz w:val="18"/>
              </w:rPr>
              <w:t>Key Columns &amp; Data Types</w:t>
            </w:r>
          </w:p>
        </w:tc>
        <w:tc>
          <w:tcPr>
            <w:tcW w:type="dxa" w:w="3312"/>
            <w:tcMar>
              <w:top w:w="70" w:type="dxa"/>
              <w:bottom w:w="70" w:type="dxa"/>
              <w:left w:w="90" w:type="dxa"/>
              <w:right w:w="90" w:type="dxa"/>
            </w:tcMar>
            <w:shd w:fill="0F172A"/>
          </w:tcPr>
          <w:p>
            <w:r>
              <w:rPr>
                <w:rFonts w:ascii="Arial" w:hAnsi="Arial"/>
                <w:b/>
                <w:color w:val="FFFFFF"/>
                <w:sz w:val="18"/>
              </w:rPr>
              <w:t>Business Purpose</w:t>
            </w:r>
          </w:p>
        </w:tc>
      </w:tr>
      <w:tr>
        <w:tc>
          <w:tcPr>
            <w:tcW w:type="dxa" w:w="3312"/>
            <w:tcMar>
              <w:top w:w="70" w:type="dxa"/>
              <w:bottom w:w="70" w:type="dxa"/>
              <w:left w:w="90" w:type="dxa"/>
              <w:right w:w="90" w:type="dxa"/>
            </w:tcMar>
            <w:shd w:fill="FFF1F2"/>
          </w:tcPr>
          <w:p>
            <w:r>
              <w:rPr>
                <w:b/>
                <w:color w:val="E11D48"/>
              </w:rPr>
              <w:t>donors</w:t>
            </w:r>
          </w:p>
        </w:tc>
        <w:tc>
          <w:tcPr>
            <w:tcW w:type="dxa" w:w="3312"/>
            <w:tcMar>
              <w:top w:w="70" w:type="dxa"/>
              <w:bottom w:w="70" w:type="dxa"/>
              <w:left w:w="90" w:type="dxa"/>
              <w:right w:w="90" w:type="dxa"/>
            </w:tcMar>
            <w:shd w:fill="F8FAFC"/>
          </w:tcPr>
          <w:p>
            <w:r>
              <w:t>id (TEXT PK), name, blood_group, city, phone, available (INT), verified (INT), donations_count, last_donation</w:t>
            </w:r>
          </w:p>
        </w:tc>
        <w:tc>
          <w:tcPr>
            <w:tcW w:type="dxa" w:w="3312"/>
            <w:tcMar>
              <w:top w:w="70" w:type="dxa"/>
              <w:bottom w:w="70" w:type="dxa"/>
              <w:left w:w="90" w:type="dxa"/>
              <w:right w:w="90" w:type="dxa"/>
            </w:tcMar>
            <w:shd w:fill="F8FAFC"/>
          </w:tcPr>
          <w:p>
            <w:r>
              <w:t>Stores registered volunteer donor profiles, live statuses, and donation history metrics.</w:t>
            </w:r>
          </w:p>
        </w:tc>
      </w:tr>
      <w:tr>
        <w:tc>
          <w:tcPr>
            <w:tcW w:type="dxa" w:w="3312"/>
            <w:tcMar>
              <w:top w:w="70" w:type="dxa"/>
              <w:bottom w:w="70" w:type="dxa"/>
              <w:left w:w="90" w:type="dxa"/>
              <w:right w:w="90" w:type="dxa"/>
            </w:tcMar>
            <w:shd w:fill="FFF1F2"/>
          </w:tcPr>
          <w:p>
            <w:r>
              <w:rPr>
                <w:b/>
                <w:color w:val="E11D48"/>
              </w:rPr>
              <w:t>requests</w:t>
            </w:r>
          </w:p>
        </w:tc>
        <w:tc>
          <w:tcPr>
            <w:tcW w:type="dxa" w:w="3312"/>
            <w:tcMar>
              <w:top w:w="70" w:type="dxa"/>
              <w:bottom w:w="70" w:type="dxa"/>
              <w:left w:w="90" w:type="dxa"/>
              <w:right w:w="90" w:type="dxa"/>
            </w:tcMar>
            <w:shd w:fill="F8FAFC"/>
          </w:tcPr>
          <w:p>
            <w:r>
              <w:t>id (TEXT PK), patient_name, blood_group, units_needed, hospital, city, urgency, contact_phone, status, timeline_json</w:t>
            </w:r>
          </w:p>
        </w:tc>
        <w:tc>
          <w:tcPr>
            <w:tcW w:type="dxa" w:w="3312"/>
            <w:tcMar>
              <w:top w:w="70" w:type="dxa"/>
              <w:bottom w:w="70" w:type="dxa"/>
              <w:left w:w="90" w:type="dxa"/>
              <w:right w:w="90" w:type="dxa"/>
            </w:tcMar>
            <w:shd w:fill="F8FAFC"/>
          </w:tcPr>
          <w:p>
            <w:r>
              <w:t>Tracks emergency blood broadcasts, hospital locations, and real-time dispatch milestones.</w:t>
            </w:r>
          </w:p>
        </w:tc>
      </w:tr>
      <w:tr>
        <w:tc>
          <w:tcPr>
            <w:tcW w:type="dxa" w:w="3312"/>
            <w:tcMar>
              <w:top w:w="70" w:type="dxa"/>
              <w:bottom w:w="70" w:type="dxa"/>
              <w:left w:w="90" w:type="dxa"/>
              <w:right w:w="90" w:type="dxa"/>
            </w:tcMar>
            <w:shd w:fill="FFF1F2"/>
          </w:tcPr>
          <w:p>
            <w:r>
              <w:rPr>
                <w:b/>
                <w:color w:val="E11D48"/>
              </w:rPr>
              <w:t>inventory</w:t>
            </w:r>
          </w:p>
        </w:tc>
        <w:tc>
          <w:tcPr>
            <w:tcW w:type="dxa" w:w="3312"/>
            <w:tcMar>
              <w:top w:w="70" w:type="dxa"/>
              <w:bottom w:w="70" w:type="dxa"/>
              <w:left w:w="90" w:type="dxa"/>
              <w:right w:w="90" w:type="dxa"/>
            </w:tcMar>
            <w:shd w:fill="F8FAFC"/>
          </w:tcPr>
          <w:p>
            <w:r>
              <w:t>blood_group (TEXT PK), units_available, hospital_name, last_updated</w:t>
            </w:r>
          </w:p>
        </w:tc>
        <w:tc>
          <w:tcPr>
            <w:tcW w:type="dxa" w:w="3312"/>
            <w:tcMar>
              <w:top w:w="70" w:type="dxa"/>
              <w:bottom w:w="70" w:type="dxa"/>
              <w:left w:w="90" w:type="dxa"/>
              <w:right w:w="90" w:type="dxa"/>
            </w:tcMar>
            <w:shd w:fill="F8FAFC"/>
          </w:tcPr>
          <w:p>
            <w:r>
              <w:t>Maintains live blood component stock levels across participating blood banks.</w:t>
            </w:r>
          </w:p>
        </w:tc>
      </w:tr>
    </w:tbl>
    <w:p>
      <w:pPr>
        <w:keepNext/>
        <w:spacing w:before="200" w:after="40"/>
      </w:pPr>
      <w:r>
        <w:rPr>
          <w:rFonts w:ascii="Arial" w:hAnsi="Arial"/>
          <w:b/>
          <w:color w:val="1E293B"/>
          <w:sz w:val="23"/>
        </w:rPr>
        <w:t>4.2 REST API Specification</w:t>
      </w:r>
    </w:p>
    <w:p>
      <w:pPr>
        <w:spacing w:after="80" w:line="276" w:lineRule="auto"/>
      </w:pPr>
      <w:r>
        <w:rPr>
          <w:rFonts w:ascii="Calibri" w:hAnsi="Calibri"/>
          <w:color w:val="334155"/>
          <w:sz w:val="20"/>
        </w:rPr>
        <w:t>The backend exposes clean, RESTful JSON endpoints:</w:t>
      </w:r>
    </w:p>
    <w:p>
      <w:pPr>
        <w:spacing w:after="80" w:line="276" w:lineRule="auto"/>
      </w:pPr>
      <w:r>
        <w:rPr>
          <w:rFonts w:ascii="Calibri" w:hAnsi="Calibri"/>
          <w:color w:val="334155"/>
          <w:sz w:val="20"/>
        </w:rPr>
        <w:t>• GET /api/health — System uptime and database connection verification.</w:t>
      </w:r>
    </w:p>
    <w:p>
      <w:pPr>
        <w:spacing w:after="80" w:line="276" w:lineRule="auto"/>
      </w:pPr>
      <w:r>
        <w:rPr>
          <w:rFonts w:ascii="Calibri" w:hAnsi="Calibri"/>
          <w:color w:val="334155"/>
          <w:sz w:val="20"/>
        </w:rPr>
        <w:t>• GET /api/donors?bloodGroup=...&amp;city=... — Filtered query for available donors.</w:t>
      </w:r>
    </w:p>
    <w:p>
      <w:pPr>
        <w:spacing w:after="80" w:line="276" w:lineRule="auto"/>
      </w:pPr>
      <w:r>
        <w:rPr>
          <w:rFonts w:ascii="Calibri" w:hAnsi="Calibri"/>
          <w:color w:val="334155"/>
          <w:sz w:val="20"/>
        </w:rPr>
        <w:t>• POST /api/donors — Register verified volunteer with automatic phone validation.</w:t>
      </w:r>
    </w:p>
    <w:p>
      <w:pPr>
        <w:spacing w:after="80" w:line="276" w:lineRule="auto"/>
      </w:pPr>
      <w:r>
        <w:rPr>
          <w:rFonts w:ascii="Calibri" w:hAnsi="Calibri"/>
          <w:color w:val="334155"/>
          <w:sz w:val="20"/>
        </w:rPr>
        <w:t>• GET /api/donors/match?bloodGroup=...&amp;city=... — Execute real-time compatibility search.</w:t>
      </w:r>
    </w:p>
    <w:p>
      <w:pPr>
        <w:spacing w:after="80" w:line="276" w:lineRule="auto"/>
      </w:pPr>
      <w:r>
        <w:rPr>
          <w:rFonts w:ascii="Calibri" w:hAnsi="Calibri"/>
          <w:color w:val="334155"/>
          <w:sz w:val="20"/>
        </w:rPr>
        <w:t>• POST /api/requests — Submit emergency blood broadcast and trigger automated alerts.</w:t>
      </w:r>
    </w:p>
    <w:p>
      <w:pPr>
        <w:spacing w:after="80" w:line="276" w:lineRule="auto"/>
      </w:pPr>
      <w:r>
        <w:rPr>
          <w:rFonts w:ascii="Calibri" w:hAnsi="Calibri"/>
          <w:color w:val="334155"/>
          <w:sz w:val="20"/>
        </w:rPr>
        <w:t>• GET /api/requests/&lt;id&gt; — Live tracking endpoint with structured timeline progress.</w:t>
      </w:r>
    </w:p>
    <w:p>
      <w:r>
        <w:br w:type="page"/>
      </w:r>
    </w:p>
    <w:p>
      <w:pPr>
        <w:keepNext/>
        <w:spacing w:before="280" w:after="80"/>
      </w:pPr>
      <w:r>
        <w:rPr>
          <w:rFonts w:ascii="Arial" w:hAnsi="Arial"/>
          <w:b/>
          <w:color w:val="E11D48"/>
          <w:sz w:val="28"/>
        </w:rPr>
        <w:t>5. Live Dispatch Tracking &amp; Geospatial Architecture</w:t>
      </w:r>
    </w:p>
    <w:p>
      <w:pPr>
        <w:spacing w:after="80" w:line="276" w:lineRule="auto"/>
      </w:pPr>
      <w:r>
        <w:rPr>
          <w:rFonts w:ascii="Calibri" w:hAnsi="Calibri"/>
          <w:color w:val="334155"/>
          <w:sz w:val="20"/>
        </w:rPr>
        <w:t>Transparency during emergencies relieves severe psychological distress for patients and families. The Lifedrop Live Tracker provides a synchronized timeline and interactive map showing exactly where the case stands.</w:t>
      </w:r>
    </w:p>
    <w:p>
      <w:pPr>
        <w:keepNext/>
        <w:spacing w:before="200" w:after="40"/>
      </w:pPr>
      <w:r>
        <w:rPr>
          <w:rFonts w:ascii="Arial" w:hAnsi="Arial"/>
          <w:b/>
          <w:color w:val="1E293B"/>
          <w:sz w:val="23"/>
        </w:rPr>
        <w:t>5.1 Real-Time 4-Stage Dispatch Pipeline</w:t>
      </w:r>
    </w:p>
    <w:p>
      <w:pPr>
        <w:spacing w:after="80" w:line="276" w:lineRule="auto"/>
      </w:pPr>
      <w:r>
        <w:rPr>
          <w:rFonts w:ascii="Calibri" w:hAnsi="Calibri"/>
          <w:color w:val="334155"/>
          <w:sz w:val="20"/>
        </w:rPr>
        <w:t>Every emergency blood request moves through four discrete operational stages:</w:t>
      </w:r>
    </w:p>
    <w:p>
      <w:pPr>
        <w:spacing w:after="80" w:line="276" w:lineRule="auto"/>
      </w:pPr>
      <w:r>
        <w:rPr>
          <w:rFonts w:ascii="Calibri" w:hAnsi="Calibri"/>
          <w:b/>
          <w:color w:val="0F172A"/>
          <w:sz w:val="20"/>
        </w:rPr>
        <w:t xml:space="preserve">Stage 1: Broadcast Active — </w:t>
      </w:r>
      <w:r>
        <w:rPr>
          <w:rFonts w:ascii="Calibri" w:hAnsi="Calibri"/>
          <w:color w:val="334155"/>
          <w:sz w:val="20"/>
        </w:rPr>
        <w:t>Request is submitted by hospital/attendant and broadcast to matching donors.</w:t>
      </w:r>
    </w:p>
    <w:p>
      <w:pPr>
        <w:spacing w:after="80" w:line="276" w:lineRule="auto"/>
      </w:pPr>
      <w:r>
        <w:rPr>
          <w:rFonts w:ascii="Calibri" w:hAnsi="Calibri"/>
          <w:b/>
          <w:color w:val="0F172A"/>
          <w:sz w:val="20"/>
        </w:rPr>
        <w:t xml:space="preserve">Stage 2: Donor Confirmed — </w:t>
      </w:r>
      <w:r>
        <w:rPr>
          <w:rFonts w:ascii="Calibri" w:hAnsi="Calibri"/>
          <w:color w:val="334155"/>
          <w:sz w:val="20"/>
        </w:rPr>
        <w:t>Compatible donor receives notification and accepts request; attendant notified.</w:t>
      </w:r>
    </w:p>
    <w:p>
      <w:pPr>
        <w:spacing w:after="80" w:line="276" w:lineRule="auto"/>
      </w:pPr>
      <w:r>
        <w:rPr>
          <w:rFonts w:ascii="Calibri" w:hAnsi="Calibri"/>
          <w:b/>
          <w:color w:val="0F172A"/>
          <w:sz w:val="20"/>
        </w:rPr>
        <w:t xml:space="preserve">Stage 3: En Route to Hospital — </w:t>
      </w:r>
      <w:r>
        <w:rPr>
          <w:rFonts w:ascii="Calibri" w:hAnsi="Calibri"/>
          <w:color w:val="334155"/>
          <w:sz w:val="20"/>
        </w:rPr>
        <w:t>Donor is traveling to blood bank/hospital; GPS coordinates updated.</w:t>
      </w:r>
    </w:p>
    <w:p>
      <w:pPr>
        <w:spacing w:after="80" w:line="276" w:lineRule="auto"/>
      </w:pPr>
      <w:r>
        <w:rPr>
          <w:rFonts w:ascii="Calibri" w:hAnsi="Calibri"/>
          <w:b/>
          <w:color w:val="0F172A"/>
          <w:sz w:val="20"/>
        </w:rPr>
        <w:t xml:space="preserve">Stage 4: Units Transfused — </w:t>
      </w:r>
      <w:r>
        <w:rPr>
          <w:rFonts w:ascii="Calibri" w:hAnsi="Calibri"/>
          <w:color w:val="334155"/>
          <w:sz w:val="20"/>
        </w:rPr>
        <w:t>Blood units verified, cross-matched, and administered to patient.</w:t>
      </w:r>
    </w:p>
    <w:p>
      <w:pPr>
        <w:keepNext/>
        <w:spacing w:before="200" w:after="40"/>
      </w:pPr>
      <w:r>
        <w:rPr>
          <w:rFonts w:ascii="Arial" w:hAnsi="Arial"/>
          <w:b/>
          <w:color w:val="1E293B"/>
          <w:sz w:val="23"/>
        </w:rPr>
        <w:t>5.2 Geospatial Map Architecture (Leaflet.js &amp; OpenStreetMap)</w:t>
      </w:r>
    </w:p>
    <w:p>
      <w:pPr>
        <w:spacing w:after="80" w:line="276" w:lineRule="auto"/>
      </w:pPr>
      <w:r>
        <w:rPr>
          <w:rFonts w:ascii="Calibri" w:hAnsi="Calibri"/>
          <w:color w:val="334155"/>
          <w:sz w:val="20"/>
        </w:rPr>
        <w:t>Lifedrop integrates OpenStreetMap tile servers via Leaflet.js to render regional healthcare facilities without external paid API dependencies. Key coordinates mapped in Shivamogga include:</w:t>
      </w:r>
    </w:p>
    <w:p>
      <w:pPr>
        <w:spacing w:after="80" w:line="276" w:lineRule="auto"/>
      </w:pPr>
      <w:r>
        <w:rPr>
          <w:rFonts w:ascii="Calibri" w:hAnsi="Calibri"/>
          <w:color w:val="334155"/>
          <w:sz w:val="20"/>
        </w:rPr>
        <w:t>• McGann District Teaching Hospital (SIMS), Sagar Road (13.9324° N, 75.5684° E)</w:t>
      </w:r>
    </w:p>
    <w:p>
      <w:pPr>
        <w:spacing w:after="80" w:line="276" w:lineRule="auto"/>
      </w:pPr>
      <w:r>
        <w:rPr>
          <w:rFonts w:ascii="Calibri" w:hAnsi="Calibri"/>
          <w:color w:val="334155"/>
          <w:sz w:val="20"/>
        </w:rPr>
        <w:t>• Sahyadri Super Specialty Hospital, Harakere (13.9056° N, 75.5892° E)</w:t>
      </w:r>
    </w:p>
    <w:p>
      <w:pPr>
        <w:spacing w:after="80" w:line="276" w:lineRule="auto"/>
      </w:pPr>
      <w:r>
        <w:rPr>
          <w:rFonts w:ascii="Calibri" w:hAnsi="Calibri"/>
          <w:color w:val="334155"/>
          <w:sz w:val="20"/>
        </w:rPr>
        <w:t>• Rotary Blood Bank &amp; Diagnostic Centre, Durgigudi (13.9280° N, 75.5720° E)</w:t>
      </w:r>
    </w:p>
    <w:p>
      <w:pPr>
        <w:spacing w:after="80" w:line="276" w:lineRule="auto"/>
      </w:pPr>
      <w:r>
        <w:rPr>
          <w:rFonts w:ascii="Calibri" w:hAnsi="Calibri"/>
          <w:color w:val="334155"/>
          <w:sz w:val="20"/>
        </w:rPr>
        <w:t>• Nanjappa Multi-Speciality Hospital, Kuvempu Road (13.9312° N, 75.5650° E)</w:t>
      </w:r>
    </w:p>
    <w:p>
      <w:pPr>
        <w:spacing w:after="80" w:line="276" w:lineRule="auto"/>
      </w:pPr>
      <w:r>
        <w:rPr>
          <w:rFonts w:ascii="Calibri" w:hAnsi="Calibri"/>
          <w:color w:val="334155"/>
          <w:sz w:val="20"/>
        </w:rPr>
        <w:t>• Taluk General Hospitals in Bhadravathi, Sagara, and Thirthahalli.</w:t>
      </w:r>
    </w:p>
    <w:p>
      <w:r>
        <w:br w:type="page"/>
      </w:r>
    </w:p>
    <w:p>
      <w:pPr>
        <w:keepNext/>
        <w:spacing w:before="280" w:after="80"/>
      </w:pPr>
      <w:r>
        <w:rPr>
          <w:rFonts w:ascii="Arial" w:hAnsi="Arial"/>
          <w:b/>
          <w:color w:val="E11D48"/>
          <w:sz w:val="28"/>
        </w:rPr>
        <w:t>6. Deployment, Security &amp; Future Roadmap</w:t>
      </w:r>
    </w:p>
    <w:p>
      <w:pPr>
        <w:spacing w:after="80" w:line="276" w:lineRule="auto"/>
      </w:pPr>
      <w:r>
        <w:rPr>
          <w:rFonts w:ascii="Calibri" w:hAnsi="Calibri"/>
          <w:color w:val="334155"/>
          <w:sz w:val="20"/>
        </w:rPr>
        <w:t>Lifedrop is engineered for effortless deployment across both modern cloud environments (Render, Vercel, Netlify, AWS) and local emergency server setups with zero cloud latency.</w:t>
      </w:r>
    </w:p>
    <w:p>
      <w:pPr>
        <w:keepNext/>
        <w:spacing w:before="200" w:after="40"/>
      </w:pPr>
      <w:r>
        <w:rPr>
          <w:rFonts w:ascii="Arial" w:hAnsi="Arial"/>
          <w:b/>
          <w:color w:val="1E293B"/>
          <w:sz w:val="23"/>
        </w:rPr>
        <w:t>6.1 Security, Privacy &amp; Medical Ethics</w:t>
      </w:r>
    </w:p>
    <w:p>
      <w:pPr>
        <w:spacing w:after="80" w:line="276" w:lineRule="auto"/>
      </w:pPr>
      <w:r>
        <w:rPr>
          <w:rFonts w:ascii="Calibri" w:hAnsi="Calibri"/>
          <w:color w:val="334155"/>
          <w:sz w:val="20"/>
        </w:rPr>
        <w:t>• Masked Contact Information: Attendant phone numbers are protected from public crawling.</w:t>
      </w:r>
    </w:p>
    <w:p>
      <w:pPr>
        <w:spacing w:after="80" w:line="276" w:lineRule="auto"/>
      </w:pPr>
      <w:r>
        <w:rPr>
          <w:rFonts w:ascii="Calibri" w:hAnsi="Calibri"/>
          <w:color w:val="334155"/>
          <w:sz w:val="20"/>
        </w:rPr>
        <w:t>• Rate Limiting: Prevents automated denial-of-service or fake broadcast flooding.</w:t>
      </w:r>
    </w:p>
    <w:p>
      <w:pPr>
        <w:spacing w:after="80" w:line="276" w:lineRule="auto"/>
      </w:pPr>
      <w:r>
        <w:rPr>
          <w:rFonts w:ascii="Calibri" w:hAnsi="Calibri"/>
          <w:color w:val="334155"/>
          <w:sz w:val="20"/>
        </w:rPr>
        <w:t>• Voluntary Consent: Donors retain complete control over their live availability toggles.</w:t>
      </w:r>
    </w:p>
    <w:p>
      <w:pPr>
        <w:keepNext/>
        <w:spacing w:before="200" w:after="40"/>
      </w:pPr>
      <w:r>
        <w:rPr>
          <w:rFonts w:ascii="Arial" w:hAnsi="Arial"/>
          <w:b/>
          <w:color w:val="1E293B"/>
          <w:sz w:val="23"/>
        </w:rPr>
        <w:t>6.2 Regional Impact &amp; Scalability Milestones</w:t>
      </w:r>
    </w:p>
    <w:tbl>
      <w:tblPr>
        <w:tblW w:type="auto" w:w="0"/>
        <w:jc w:val="center"/>
        <w:tblLook w:firstColumn="1" w:firstRow="1" w:lastColumn="0" w:lastRow="0" w:noHBand="0" w:noVBand="1" w:val="04A0"/>
      </w:tblPr>
      <w:tblGrid>
        <w:gridCol w:w="4968"/>
        <w:gridCol w:w="4968"/>
      </w:tblGrid>
      <w:tr>
        <w:tc>
          <w:tcPr>
            <w:tcW w:type="dxa" w:w="4968"/>
            <w:tcMar>
              <w:top w:w="70" w:type="dxa"/>
              <w:bottom w:w="70" w:type="dxa"/>
              <w:left w:w="90" w:type="dxa"/>
              <w:right w:w="90" w:type="dxa"/>
            </w:tcMar>
            <w:shd w:fill="0F172A"/>
          </w:tcPr>
          <w:p>
            <w:r>
              <w:rPr>
                <w:rFonts w:ascii="Arial" w:hAnsi="Arial"/>
                <w:b/>
                <w:color w:val="FFFFFF"/>
                <w:sz w:val="19"/>
              </w:rPr>
              <w:t>Implementation Milestone</w:t>
            </w:r>
          </w:p>
        </w:tc>
        <w:tc>
          <w:tcPr>
            <w:tcW w:type="dxa" w:w="4968"/>
            <w:tcMar>
              <w:top w:w="70" w:type="dxa"/>
              <w:bottom w:w="70" w:type="dxa"/>
              <w:left w:w="90" w:type="dxa"/>
              <w:right w:w="90" w:type="dxa"/>
            </w:tcMar>
            <w:shd w:fill="0F172A"/>
          </w:tcPr>
          <w:p>
            <w:r>
              <w:rPr>
                <w:rFonts w:ascii="Arial" w:hAnsi="Arial"/>
                <w:b/>
                <w:color w:val="FFFFFF"/>
                <w:sz w:val="19"/>
              </w:rPr>
              <w:t>Projected Outcome &amp; Community Impact</w:t>
            </w:r>
          </w:p>
        </w:tc>
      </w:tr>
      <w:tr>
        <w:tc>
          <w:tcPr>
            <w:tcW w:type="dxa" w:w="4968"/>
            <w:tcMar>
              <w:top w:w="70" w:type="dxa"/>
              <w:bottom w:w="70" w:type="dxa"/>
              <w:left w:w="90" w:type="dxa"/>
              <w:right w:w="90" w:type="dxa"/>
            </w:tcMar>
            <w:shd w:fill="FFF1F2"/>
          </w:tcPr>
          <w:p>
            <w:r>
              <w:rPr>
                <w:b/>
                <w:color w:val="E11D48"/>
              </w:rPr>
              <w:t>Phase 1: WhatsApp Cloud Bot</w:t>
            </w:r>
          </w:p>
        </w:tc>
        <w:tc>
          <w:tcPr>
            <w:tcW w:type="dxa" w:w="4968"/>
            <w:tcMar>
              <w:top w:w="70" w:type="dxa"/>
              <w:bottom w:w="70" w:type="dxa"/>
              <w:left w:w="90" w:type="dxa"/>
              <w:right w:w="90" w:type="dxa"/>
            </w:tcMar>
            <w:shd w:fill="F8FAFC"/>
          </w:tcPr>
          <w:p>
            <w:r>
              <w:t>Integration with official WhatsApp Business API for instant 1-tap donor acceptances in Kannada and English.</w:t>
            </w:r>
          </w:p>
        </w:tc>
      </w:tr>
      <w:tr>
        <w:tc>
          <w:tcPr>
            <w:tcW w:type="dxa" w:w="4968"/>
            <w:tcMar>
              <w:top w:w="70" w:type="dxa"/>
              <w:bottom w:w="70" w:type="dxa"/>
              <w:left w:w="90" w:type="dxa"/>
              <w:right w:w="90" w:type="dxa"/>
            </w:tcMar>
            <w:shd w:fill="FFF1F2"/>
          </w:tcPr>
          <w:p>
            <w:r>
              <w:rPr>
                <w:b/>
                <w:color w:val="E11D48"/>
              </w:rPr>
              <w:t>Phase 2: District Hospital EMR Sync</w:t>
            </w:r>
          </w:p>
        </w:tc>
        <w:tc>
          <w:tcPr>
            <w:tcW w:type="dxa" w:w="4968"/>
            <w:tcMar>
              <w:top w:w="70" w:type="dxa"/>
              <w:bottom w:w="70" w:type="dxa"/>
              <w:left w:w="90" w:type="dxa"/>
              <w:right w:w="90" w:type="dxa"/>
            </w:tcMar>
            <w:shd w:fill="F8FAFC"/>
          </w:tcPr>
          <w:p>
            <w:r>
              <w:t>Direct integration with SIMS McGann Hospital HMIS for automated blood deficit alerts directly from trauma ICU.</w:t>
            </w:r>
          </w:p>
        </w:tc>
      </w:tr>
      <w:tr>
        <w:tc>
          <w:tcPr>
            <w:tcW w:type="dxa" w:w="4968"/>
            <w:tcMar>
              <w:top w:w="70" w:type="dxa"/>
              <w:bottom w:w="70" w:type="dxa"/>
              <w:left w:w="90" w:type="dxa"/>
              <w:right w:w="90" w:type="dxa"/>
            </w:tcMar>
            <w:shd w:fill="FFF1F2"/>
          </w:tcPr>
          <w:p>
            <w:r>
              <w:rPr>
                <w:b/>
                <w:color w:val="E11D48"/>
              </w:rPr>
              <w:t>Phase 3: Malnad Taluk Drone Logistics</w:t>
            </w:r>
          </w:p>
        </w:tc>
        <w:tc>
          <w:tcPr>
            <w:tcW w:type="dxa" w:w="4968"/>
            <w:tcMar>
              <w:top w:w="70" w:type="dxa"/>
              <w:bottom w:w="70" w:type="dxa"/>
              <w:left w:w="90" w:type="dxa"/>
              <w:right w:w="90" w:type="dxa"/>
            </w:tcMar>
            <w:shd w:fill="F8FAFC"/>
          </w:tcPr>
          <w:p>
            <w:r>
              <w:t>Support for IoT temperature-controlled medical drone delivery corridors connecting remote rural health centres to Shivamogga.</w:t>
            </w:r>
          </w:p>
        </w:tc>
      </w:tr>
    </w:tbl>
    <w:p>
      <w:pPr>
        <w:keepNext/>
        <w:spacing w:before="200" w:after="40"/>
      </w:pPr>
      <w:r>
        <w:rPr>
          <w:rFonts w:ascii="Arial" w:hAnsi="Arial"/>
          <w:b/>
          <w:color w:val="1E293B"/>
          <w:sz w:val="23"/>
        </w:rPr>
        <w:t>6.3 Conclusion</w:t>
      </w:r>
    </w:p>
    <w:p>
      <w:pPr>
        <w:spacing w:after="80" w:line="276" w:lineRule="auto"/>
      </w:pPr>
      <w:r>
        <w:rPr>
          <w:rFonts w:ascii="Calibri" w:hAnsi="Calibri"/>
          <w:color w:val="334155"/>
          <w:sz w:val="20"/>
        </w:rPr>
        <w:t>Lifedrop represents a technological paradigm shift in emergency blood coordination for Shivamogga. By synthesizing real-time matching, clinical accuracy, live GPS tracking, and community gamification, Lifedrop transforms passive bystanders into active lifesavers, establishing a dependable safety net for the entire region.</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