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6489" w14:textId="77777777" w:rsidR="002A59E5" w:rsidRDefault="00490119">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753564C5" wp14:editId="753564C6">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7535648A" w14:textId="77777777" w:rsidR="002A59E5" w:rsidRDefault="002A59E5">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A59E5" w14:paraId="7535648D" w14:textId="77777777">
        <w:trPr>
          <w:jc w:val="center"/>
        </w:trPr>
        <w:tc>
          <w:tcPr>
            <w:tcW w:w="4508" w:type="dxa"/>
          </w:tcPr>
          <w:p w14:paraId="7535648B" w14:textId="77777777" w:rsidR="002A59E5" w:rsidRDefault="00490119">
            <w:pPr>
              <w:rPr>
                <w:rFonts w:ascii="Arial" w:eastAsia="Arial" w:hAnsi="Arial" w:cs="Arial"/>
              </w:rPr>
            </w:pPr>
            <w:r>
              <w:rPr>
                <w:rFonts w:ascii="Arial" w:eastAsia="Arial" w:hAnsi="Arial" w:cs="Arial"/>
              </w:rPr>
              <w:t>Date</w:t>
            </w:r>
          </w:p>
        </w:tc>
        <w:tc>
          <w:tcPr>
            <w:tcW w:w="4843" w:type="dxa"/>
          </w:tcPr>
          <w:p w14:paraId="7535648C" w14:textId="0C2BCA84" w:rsidR="002A59E5" w:rsidRDefault="00B87979">
            <w:r>
              <w:t>21</w:t>
            </w:r>
            <w:r w:rsidR="00490119">
              <w:t xml:space="preserve"> September 2026</w:t>
            </w:r>
          </w:p>
        </w:tc>
      </w:tr>
      <w:tr w:rsidR="002A59E5" w14:paraId="75356490" w14:textId="77777777">
        <w:trPr>
          <w:jc w:val="center"/>
        </w:trPr>
        <w:tc>
          <w:tcPr>
            <w:tcW w:w="4508" w:type="dxa"/>
          </w:tcPr>
          <w:p w14:paraId="7535648E" w14:textId="77777777" w:rsidR="002A59E5" w:rsidRDefault="00490119">
            <w:pPr>
              <w:rPr>
                <w:rFonts w:ascii="Arial" w:eastAsia="Arial" w:hAnsi="Arial" w:cs="Arial"/>
              </w:rPr>
            </w:pPr>
            <w:r>
              <w:rPr>
                <w:rFonts w:ascii="Arial" w:eastAsia="Arial" w:hAnsi="Arial" w:cs="Arial"/>
              </w:rPr>
              <w:t>Team ID</w:t>
            </w:r>
          </w:p>
        </w:tc>
        <w:tc>
          <w:tcPr>
            <w:tcW w:w="4843" w:type="dxa"/>
          </w:tcPr>
          <w:p w14:paraId="7535648F" w14:textId="71974E80" w:rsidR="002A59E5" w:rsidRDefault="00724B38">
            <w:r>
              <w:t>MCA</w:t>
            </w:r>
            <w:r w:rsidR="00B87979">
              <w:t>(Master of Computer</w:t>
            </w:r>
            <w:r w:rsidR="00347B00">
              <w:t xml:space="preserve"> Applications)</w:t>
            </w:r>
          </w:p>
        </w:tc>
      </w:tr>
      <w:tr w:rsidR="002A59E5" w14:paraId="75356493" w14:textId="77777777">
        <w:trPr>
          <w:jc w:val="center"/>
        </w:trPr>
        <w:tc>
          <w:tcPr>
            <w:tcW w:w="4508" w:type="dxa"/>
          </w:tcPr>
          <w:p w14:paraId="75356491" w14:textId="77777777" w:rsidR="002A59E5" w:rsidRDefault="00490119">
            <w:pPr>
              <w:rPr>
                <w:rFonts w:ascii="Arial" w:eastAsia="Arial" w:hAnsi="Arial" w:cs="Arial"/>
              </w:rPr>
            </w:pPr>
            <w:r>
              <w:rPr>
                <w:rFonts w:ascii="Arial" w:eastAsia="Arial" w:hAnsi="Arial" w:cs="Arial"/>
              </w:rPr>
              <w:t>Project Name</w:t>
            </w:r>
          </w:p>
        </w:tc>
        <w:tc>
          <w:tcPr>
            <w:tcW w:w="4843" w:type="dxa"/>
          </w:tcPr>
          <w:p w14:paraId="75356492" w14:textId="77777777" w:rsidR="002A59E5" w:rsidRDefault="00490119">
            <w:r>
              <w:t>Air Quality Intelligence: India Air Pollution Monitoring, Operational and Risk Analysis</w:t>
            </w:r>
          </w:p>
        </w:tc>
      </w:tr>
      <w:tr w:rsidR="002A59E5" w14:paraId="75356496" w14:textId="77777777">
        <w:trPr>
          <w:jc w:val="center"/>
        </w:trPr>
        <w:tc>
          <w:tcPr>
            <w:tcW w:w="4508" w:type="dxa"/>
          </w:tcPr>
          <w:p w14:paraId="75356494" w14:textId="77777777" w:rsidR="002A59E5" w:rsidRDefault="00490119">
            <w:pPr>
              <w:rPr>
                <w:rFonts w:ascii="Arial" w:eastAsia="Arial" w:hAnsi="Arial" w:cs="Arial"/>
              </w:rPr>
            </w:pPr>
            <w:r>
              <w:rPr>
                <w:rFonts w:ascii="Arial" w:eastAsia="Arial" w:hAnsi="Arial" w:cs="Arial"/>
              </w:rPr>
              <w:t>Maximum Marks</w:t>
            </w:r>
          </w:p>
        </w:tc>
        <w:tc>
          <w:tcPr>
            <w:tcW w:w="4843" w:type="dxa"/>
          </w:tcPr>
          <w:p w14:paraId="75356495" w14:textId="77777777" w:rsidR="002A59E5" w:rsidRDefault="00490119">
            <w:pPr>
              <w:rPr>
                <w:rFonts w:ascii="Arial" w:eastAsia="Arial" w:hAnsi="Arial" w:cs="Arial"/>
              </w:rPr>
            </w:pPr>
            <w:r>
              <w:rPr>
                <w:rFonts w:ascii="Arial" w:eastAsia="Arial" w:hAnsi="Arial" w:cs="Arial"/>
              </w:rPr>
              <w:t>5 Marks</w:t>
            </w:r>
          </w:p>
        </w:tc>
      </w:tr>
    </w:tbl>
    <w:p w14:paraId="75356497" w14:textId="77777777" w:rsidR="002A59E5" w:rsidRDefault="002A59E5">
      <w:pPr>
        <w:rPr>
          <w:rFonts w:ascii="Cambria" w:eastAsia="Cambria" w:hAnsi="Cambria" w:cs="Cambria"/>
          <w:color w:val="000000"/>
          <w:sz w:val="24"/>
          <w:szCs w:val="24"/>
          <w:highlight w:val="white"/>
        </w:rPr>
      </w:pPr>
    </w:p>
    <w:p w14:paraId="75356498" w14:textId="77777777" w:rsidR="002A59E5" w:rsidRDefault="00490119">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75356499" w14:textId="77777777" w:rsidR="002A59E5" w:rsidRDefault="00490119">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7535649A" w14:textId="77777777" w:rsidR="002A59E5" w:rsidRDefault="00490119">
      <w:pPr>
        <w:shd w:val="clear" w:color="auto" w:fill="FFFFFF"/>
        <w:jc w:val="center"/>
        <w:rPr>
          <w:sz w:val="20"/>
          <w:szCs w:val="20"/>
          <w:highlight w:val="white"/>
        </w:rPr>
      </w:pPr>
      <w:r>
        <w:rPr>
          <w:sz w:val="20"/>
          <w:szCs w:val="20"/>
        </w:rPr>
        <w:t xml:space="preserve">                    </w:t>
      </w:r>
    </w:p>
    <w:p w14:paraId="7535649B" w14:textId="77777777" w:rsidR="002A59E5" w:rsidRDefault="002A59E5">
      <w:pPr>
        <w:pBdr>
          <w:top w:val="nil"/>
          <w:left w:val="nil"/>
          <w:bottom w:val="nil"/>
          <w:right w:val="nil"/>
          <w:between w:val="nil"/>
        </w:pBdr>
        <w:spacing w:after="200" w:line="240" w:lineRule="auto"/>
        <w:ind w:left="1440"/>
        <w:rPr>
          <w:rFonts w:ascii="Arial" w:eastAsia="Arial" w:hAnsi="Arial" w:cs="Arial"/>
          <w:color w:val="000000"/>
          <w:sz w:val="20"/>
          <w:szCs w:val="20"/>
        </w:rPr>
      </w:pPr>
    </w:p>
    <w:p w14:paraId="7535649C" w14:textId="547BE57B" w:rsidR="002A59E5" w:rsidRDefault="002A59E5">
      <w:pPr>
        <w:pBdr>
          <w:top w:val="nil"/>
          <w:left w:val="nil"/>
          <w:bottom w:val="nil"/>
          <w:right w:val="nil"/>
          <w:between w:val="nil"/>
        </w:pBdr>
        <w:spacing w:after="200" w:line="240" w:lineRule="auto"/>
        <w:rPr>
          <w:rFonts w:ascii="Arial" w:eastAsia="Arial" w:hAnsi="Arial" w:cs="Arial"/>
          <w:color w:val="000000"/>
          <w:sz w:val="20"/>
          <w:szCs w:val="20"/>
        </w:rPr>
      </w:pPr>
    </w:p>
    <w:p w14:paraId="7535649D" w14:textId="77777777" w:rsidR="002A59E5" w:rsidRDefault="00490119">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14:paraId="7535649E" w14:textId="77777777" w:rsidR="002A59E5" w:rsidRDefault="00490119">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1. Trends Over Time</w:t>
      </w:r>
      <w:r>
        <w:rPr>
          <w:rFonts w:ascii="Arial" w:eastAsia="Arial" w:hAnsi="Arial" w:cs="Arial"/>
          <w:color w:val="000000"/>
          <w:sz w:val="20"/>
          <w:szCs w:val="20"/>
        </w:rPr>
        <w:t>:</w:t>
      </w:r>
    </w:p>
    <w:p w14:paraId="7535649F" w14:textId="77777777" w:rsidR="002A59E5" w:rsidRDefault="00490119">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proofErr w:type="spellStart"/>
      <w:r>
        <w:rPr>
          <w:rFonts w:ascii="Arial" w:eastAsia="Arial" w:hAnsi="Arial" w:cs="Arial"/>
          <w:color w:val="000000"/>
          <w:sz w:val="20"/>
          <w:szCs w:val="20"/>
        </w:rPr>
        <w:t>Analyze</w:t>
      </w:r>
      <w:proofErr w:type="spellEnd"/>
      <w:r>
        <w:rPr>
          <w:rFonts w:ascii="Arial" w:eastAsia="Arial" w:hAnsi="Arial" w:cs="Arial"/>
          <w:color w:val="000000"/>
          <w:sz w:val="20"/>
          <w:szCs w:val="20"/>
        </w:rPr>
        <w:t xml:space="preserve"> how key metrics (e.g., sales, revenue, or customer counts) change over different time periods (monthly, quarterly, annually) to identify growth patterns or seasonality.</w:t>
      </w:r>
    </w:p>
    <w:p w14:paraId="753564A0" w14:textId="77777777" w:rsidR="002A59E5" w:rsidRDefault="00490119">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2. Performance Comparisons</w:t>
      </w:r>
      <w:r>
        <w:rPr>
          <w:rFonts w:ascii="Arial" w:eastAsia="Arial" w:hAnsi="Arial" w:cs="Arial"/>
          <w:color w:val="000000"/>
          <w:sz w:val="20"/>
          <w:szCs w:val="20"/>
        </w:rPr>
        <w:t>:</w:t>
      </w:r>
    </w:p>
    <w:p w14:paraId="753564A1" w14:textId="77777777" w:rsidR="002A59E5" w:rsidRDefault="00490119">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Compare performance across different categories, such as regions, products, or departments, to determine which areas are excelling or underperforming.</w:t>
      </w:r>
    </w:p>
    <w:p w14:paraId="753564A2" w14:textId="77777777" w:rsidR="002A59E5" w:rsidRDefault="004901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753564A3" w14:textId="77777777" w:rsidR="002A59E5" w:rsidRDefault="00490119">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 demographic data (age, gender, location) to understand customer segments and tailor marketing strategies accordingly.</w:t>
      </w:r>
    </w:p>
    <w:p w14:paraId="753564A4" w14:textId="77777777" w:rsidR="002A59E5" w:rsidRDefault="004901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753564A5" w14:textId="77777777" w:rsidR="002A59E5" w:rsidRDefault="00490119">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 progress against established KPIs (Key Performance Indicators) to assess whether business goals are being met.</w:t>
      </w:r>
    </w:p>
    <w:p w14:paraId="753564A6" w14:textId="77777777" w:rsidR="002A59E5" w:rsidRDefault="00490119">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t>Example:</w:t>
      </w:r>
    </w:p>
    <w:p w14:paraId="753564A7" w14:textId="77777777" w:rsidR="002A59E5" w:rsidRDefault="00490119">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Gender Distribution</w:t>
      </w:r>
      <w:r>
        <w:rPr>
          <w:rFonts w:ascii="Times New Roman" w:eastAsia="Times New Roman" w:hAnsi="Times New Roman" w:cs="Times New Roman"/>
          <w:color w:val="000000"/>
          <w:sz w:val="24"/>
          <w:szCs w:val="24"/>
        </w:rPr>
        <w:t>:</w:t>
      </w:r>
    </w:p>
    <w:p w14:paraId="753564A8" w14:textId="77777777" w:rsidR="002A59E5" w:rsidRDefault="00490119">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gender distribution chart indicates that more Aadhar cards are issued to </w:t>
      </w:r>
      <w:r>
        <w:rPr>
          <w:rFonts w:ascii="Times New Roman" w:eastAsia="Times New Roman" w:hAnsi="Times New Roman" w:cs="Times New Roman"/>
          <w:b/>
          <w:bCs/>
          <w:sz w:val="24"/>
          <w:szCs w:val="24"/>
        </w:rPr>
        <w:t>males (425,601)</w:t>
      </w:r>
      <w:r>
        <w:rPr>
          <w:rFonts w:ascii="Times New Roman" w:eastAsia="Times New Roman" w:hAnsi="Times New Roman" w:cs="Times New Roman"/>
          <w:sz w:val="24"/>
          <w:szCs w:val="24"/>
        </w:rPr>
        <w:t xml:space="preserve"> compared to </w:t>
      </w:r>
      <w:r>
        <w:rPr>
          <w:rFonts w:ascii="Times New Roman" w:eastAsia="Times New Roman" w:hAnsi="Times New Roman" w:cs="Times New Roman"/>
          <w:b/>
          <w:bCs/>
          <w:sz w:val="24"/>
          <w:szCs w:val="24"/>
        </w:rPr>
        <w:t>females (247,174)</w:t>
      </w:r>
      <w:r>
        <w:rPr>
          <w:rFonts w:ascii="Times New Roman" w:eastAsia="Times New Roman" w:hAnsi="Times New Roman" w:cs="Times New Roman"/>
          <w:sz w:val="24"/>
          <w:szCs w:val="24"/>
        </w:rPr>
        <w:t xml:space="preserve">. </w:t>
      </w:r>
    </w:p>
    <w:p w14:paraId="753564A9" w14:textId="77777777" w:rsidR="002A59E5" w:rsidRDefault="00490119">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Age Group Analysis</w:t>
      </w:r>
      <w:r>
        <w:rPr>
          <w:rFonts w:ascii="Times New Roman" w:eastAsia="Times New Roman" w:hAnsi="Times New Roman" w:cs="Times New Roman"/>
          <w:color w:val="000000"/>
          <w:sz w:val="24"/>
          <w:szCs w:val="24"/>
        </w:rPr>
        <w:t>:</w:t>
      </w:r>
    </w:p>
    <w:p w14:paraId="753564AA" w14:textId="77777777" w:rsidR="002A59E5" w:rsidRDefault="00490119">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Among the issued Aadhar cards, the </w:t>
      </w:r>
      <w:r>
        <w:rPr>
          <w:rFonts w:ascii="Times New Roman" w:eastAsia="Times New Roman" w:hAnsi="Times New Roman" w:cs="Times New Roman"/>
          <w:b/>
          <w:bCs/>
          <w:sz w:val="24"/>
          <w:szCs w:val="24"/>
        </w:rPr>
        <w:t>youth</w:t>
      </w:r>
      <w:r>
        <w:rPr>
          <w:rFonts w:ascii="Times New Roman" w:eastAsia="Times New Roman" w:hAnsi="Times New Roman" w:cs="Times New Roman"/>
          <w:sz w:val="24"/>
          <w:szCs w:val="24"/>
        </w:rPr>
        <w:t xml:space="preserve"> category (under 18) has the highest number at </w:t>
      </w:r>
      <w:r>
        <w:rPr>
          <w:rFonts w:ascii="Times New Roman" w:eastAsia="Times New Roman" w:hAnsi="Times New Roman" w:cs="Times New Roman"/>
          <w:b/>
          <w:bCs/>
          <w:sz w:val="24"/>
          <w:szCs w:val="24"/>
        </w:rPr>
        <w:t>464,000</w:t>
      </w:r>
      <w:r>
        <w:rPr>
          <w:rFonts w:ascii="Times New Roman" w:eastAsia="Times New Roman" w:hAnsi="Times New Roman" w:cs="Times New Roman"/>
          <w:sz w:val="24"/>
          <w:szCs w:val="24"/>
        </w:rPr>
        <w:t>, indicating a significant focus on younger populations. This trend could suggest the need for policies aimed at youth engagement and benefits tailored for this demographic.</w:t>
      </w:r>
    </w:p>
    <w:p w14:paraId="753564AB" w14:textId="77777777" w:rsidR="002A59E5" w:rsidRDefault="00490119">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Regional Disparities</w:t>
      </w:r>
      <w:r>
        <w:rPr>
          <w:rFonts w:ascii="Times New Roman" w:eastAsia="Times New Roman" w:hAnsi="Times New Roman" w:cs="Times New Roman"/>
          <w:color w:val="000000"/>
          <w:sz w:val="24"/>
          <w:szCs w:val="24"/>
        </w:rPr>
        <w:t>:</w:t>
      </w:r>
    </w:p>
    <w:p w14:paraId="753564AC" w14:textId="77777777" w:rsidR="002A59E5" w:rsidRDefault="00490119">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Central region</w:t>
      </w:r>
      <w:r>
        <w:rPr>
          <w:rFonts w:ascii="Times New Roman" w:eastAsia="Times New Roman" w:hAnsi="Times New Roman" w:cs="Times New Roman"/>
          <w:sz w:val="24"/>
          <w:szCs w:val="24"/>
        </w:rPr>
        <w:t xml:space="preserve"> has the highest sum of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xml:space="preserve"> rejections (</w:t>
      </w:r>
      <w:r>
        <w:rPr>
          <w:rFonts w:ascii="Times New Roman" w:eastAsia="Times New Roman" w:hAnsi="Times New Roman" w:cs="Times New Roman"/>
          <w:b/>
          <w:bCs/>
          <w:sz w:val="24"/>
          <w:szCs w:val="24"/>
        </w:rPr>
        <w:t>59,888</w:t>
      </w:r>
      <w:r>
        <w:rPr>
          <w:rFonts w:ascii="Times New Roman" w:eastAsia="Times New Roman" w:hAnsi="Times New Roman" w:cs="Times New Roman"/>
          <w:sz w:val="24"/>
          <w:szCs w:val="24"/>
        </w:rPr>
        <w:t xml:space="preserve">), indicating potential systemic issues in that area. Addressing these concerns could improve overall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xml:space="preserve"> success rates.</w:t>
      </w:r>
    </w:p>
    <w:p w14:paraId="753564AD" w14:textId="77777777" w:rsidR="002A59E5" w:rsidRDefault="00490119">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High Aadhar Issuance</w:t>
      </w:r>
      <w:r>
        <w:rPr>
          <w:rFonts w:ascii="Times New Roman" w:eastAsia="Times New Roman" w:hAnsi="Times New Roman" w:cs="Times New Roman"/>
          <w:color w:val="000000"/>
          <w:sz w:val="24"/>
          <w:szCs w:val="24"/>
        </w:rPr>
        <w:t>:</w:t>
      </w:r>
    </w:p>
    <w:p w14:paraId="753564AE" w14:textId="77777777" w:rsidR="002A59E5" w:rsidRDefault="00490119">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of </w:t>
      </w:r>
      <w:r>
        <w:rPr>
          <w:rFonts w:ascii="Times New Roman" w:eastAsia="Times New Roman" w:hAnsi="Times New Roman" w:cs="Times New Roman"/>
          <w:b/>
          <w:bCs/>
          <w:sz w:val="24"/>
          <w:szCs w:val="24"/>
        </w:rPr>
        <w:t>706,000 Aadhar cards</w:t>
      </w:r>
      <w:r>
        <w:rPr>
          <w:rFonts w:ascii="Times New Roman" w:eastAsia="Times New Roman" w:hAnsi="Times New Roman" w:cs="Times New Roman"/>
          <w:sz w:val="24"/>
          <w:szCs w:val="24"/>
        </w:rPr>
        <w:t xml:space="preserve"> have been issued, indicating strong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xml:space="preserve"> efforts. The states with the highest issuance (e.g., </w:t>
      </w:r>
      <w:r>
        <w:rPr>
          <w:rFonts w:ascii="Times New Roman" w:eastAsia="Times New Roman" w:hAnsi="Times New Roman" w:cs="Times New Roman"/>
          <w:b/>
          <w:bCs/>
          <w:sz w:val="24"/>
          <w:szCs w:val="24"/>
        </w:rPr>
        <w:t>Bihar</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162,407</w:t>
      </w:r>
      <w:r>
        <w:rPr>
          <w:rFonts w:ascii="Times New Roman" w:eastAsia="Times New Roman" w:hAnsi="Times New Roman" w:cs="Times New Roman"/>
          <w:sz w:val="24"/>
          <w:szCs w:val="24"/>
        </w:rPr>
        <w:t xml:space="preserve"> Aadhar cards) should be studied for successful outreach strategies.</w:t>
      </w:r>
    </w:p>
    <w:p w14:paraId="753564AF" w14:textId="77777777" w:rsidR="002A59E5" w:rsidRDefault="002A59E5">
      <w:pPr>
        <w:spacing w:before="280" w:after="280" w:line="240" w:lineRule="auto"/>
        <w:ind w:left="720"/>
        <w:rPr>
          <w:rFonts w:ascii="Times New Roman" w:eastAsia="Times New Roman" w:hAnsi="Times New Roman" w:cs="Times New Roman"/>
          <w:sz w:val="24"/>
          <w:szCs w:val="24"/>
        </w:rPr>
      </w:pPr>
    </w:p>
    <w:p w14:paraId="753564B0" w14:textId="77777777" w:rsidR="002A59E5" w:rsidRDefault="002A59E5">
      <w:pPr>
        <w:spacing w:before="280" w:after="280" w:line="240" w:lineRule="auto"/>
        <w:rPr>
          <w:rFonts w:ascii="Times New Roman" w:eastAsia="Times New Roman" w:hAnsi="Times New Roman" w:cs="Times New Roman"/>
          <w:sz w:val="24"/>
          <w:szCs w:val="24"/>
        </w:rPr>
      </w:pPr>
    </w:p>
    <w:p w14:paraId="753564B1" w14:textId="77777777" w:rsidR="002A59E5" w:rsidRDefault="002A59E5">
      <w:pPr>
        <w:pBdr>
          <w:top w:val="nil"/>
          <w:left w:val="nil"/>
          <w:bottom w:val="nil"/>
          <w:right w:val="nil"/>
          <w:between w:val="nil"/>
        </w:pBdr>
        <w:spacing w:after="200" w:line="240" w:lineRule="auto"/>
        <w:ind w:left="720"/>
        <w:rPr>
          <w:rFonts w:ascii="Arial" w:eastAsia="Arial" w:hAnsi="Arial" w:cs="Arial"/>
          <w:color w:val="000000"/>
          <w:sz w:val="20"/>
          <w:szCs w:val="20"/>
        </w:rPr>
      </w:pPr>
    </w:p>
    <w:p w14:paraId="753564B2" w14:textId="77777777" w:rsidR="002A59E5" w:rsidRDefault="002A59E5">
      <w:pPr>
        <w:pBdr>
          <w:top w:val="nil"/>
          <w:left w:val="nil"/>
          <w:bottom w:val="nil"/>
          <w:right w:val="nil"/>
          <w:between w:val="nil"/>
        </w:pBdr>
        <w:spacing w:after="200" w:line="240" w:lineRule="auto"/>
        <w:rPr>
          <w:rFonts w:ascii="Arial" w:eastAsia="Arial" w:hAnsi="Arial" w:cs="Arial"/>
          <w:color w:val="000000"/>
          <w:sz w:val="20"/>
          <w:szCs w:val="20"/>
        </w:rPr>
      </w:pPr>
    </w:p>
    <w:p w14:paraId="753564B3" w14:textId="77777777" w:rsidR="002A59E5" w:rsidRDefault="00490119">
      <w:r>
        <w:t xml:space="preserve"> </w:t>
      </w:r>
    </w:p>
    <w:p w14:paraId="753564B5" w14:textId="42183E00" w:rsidR="002A59E5" w:rsidRDefault="00490119">
      <w:pPr>
        <w:pStyle w:val="Heading2"/>
      </w:pPr>
      <w:r>
        <w:t xml:space="preserve"> Report Observations (Air Quality Intelligence)</w:t>
      </w:r>
    </w:p>
    <w:p w14:paraId="753564B6" w14:textId="77777777" w:rsidR="002A59E5" w:rsidRDefault="00490119">
      <w:r>
        <w:t>Observations drawn from the two report pages built for this project:</w:t>
      </w:r>
    </w:p>
    <w:p w14:paraId="753564B7" w14:textId="77777777" w:rsidR="002A59E5" w:rsidRDefault="002A59E5"/>
    <w:p w14:paraId="753564B8" w14:textId="77777777" w:rsidR="002A59E5" w:rsidRDefault="00490119">
      <w:r>
        <w:rPr>
          <w:b/>
        </w:rPr>
        <w:t>Report 1: Air Pollution Monitoring &amp; Analysis Report</w:t>
      </w:r>
    </w:p>
    <w:p w14:paraId="753564B9" w14:textId="77777777" w:rsidR="002A59E5" w:rsidRDefault="00490119">
      <w:r>
        <w:rPr>
          <w:noProof/>
        </w:rPr>
        <w:lastRenderedPageBreak/>
        <w:drawing>
          <wp:inline distT="0" distB="0" distL="0" distR="0" wp14:anchorId="753564C9" wp14:editId="753564CA">
            <wp:extent cx="5486400" cy="3007667"/>
            <wp:effectExtent l="0" t="0" r="0" b="0"/>
            <wp:docPr id="324832102" name="Picture 32483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8_152313.png"/>
                    <pic:cNvPicPr/>
                  </pic:nvPicPr>
                  <pic:blipFill>
                    <a:blip r:embed="rId7"/>
                    <a:stretch>
                      <a:fillRect/>
                    </a:stretch>
                  </pic:blipFill>
                  <pic:spPr>
                    <a:xfrm>
                      <a:off x="0" y="0"/>
                      <a:ext cx="5486400" cy="3007667"/>
                    </a:xfrm>
                    <a:prstGeom prst="rect">
                      <a:avLst/>
                    </a:prstGeom>
                  </pic:spPr>
                </pic:pic>
              </a:graphicData>
            </a:graphic>
          </wp:inline>
        </w:drawing>
      </w:r>
    </w:p>
    <w:p w14:paraId="753564BA" w14:textId="77777777" w:rsidR="002A59E5" w:rsidRDefault="00490119">
      <w:r>
        <w:rPr>
          <w:b/>
        </w:rPr>
        <w:t>Trends Over Time:</w:t>
      </w:r>
      <w:r>
        <w:t xml:space="preserve"> Average AQI by Year dips sharply in 2026 (~80, the chart's low point) compared to 2025 and 2027 (both ~140) — a V-shaped pattern worth validating as either a genuine improvement or a partial-year data effect rather than a real multi-year trend.</w:t>
      </w:r>
    </w:p>
    <w:p w14:paraId="753564BB" w14:textId="77777777" w:rsidR="002A59E5" w:rsidRDefault="00490119">
      <w:r>
        <w:rPr>
          <w:b/>
        </w:rPr>
        <w:t>Performance Comparisons:</w:t>
      </w:r>
      <w:r>
        <w:t xml:space="preserve"> Average AQI by Season shows Winter and Spring clearly higher than Autumn and especially Summer (the lowest), confirming season as a key comparative driver of air quality performance across the year.</w:t>
      </w:r>
    </w:p>
    <w:p w14:paraId="753564BC" w14:textId="77777777" w:rsidR="002A59E5" w:rsidRDefault="00490119">
      <w:r>
        <w:rPr>
          <w:b/>
        </w:rPr>
        <w:t>Category Distribution:</w:t>
      </w:r>
      <w:r>
        <w:t xml:space="preserve"> The </w:t>
      </w:r>
      <w:proofErr w:type="spellStart"/>
      <w:r>
        <w:t>AQI_Bucket</w:t>
      </w:r>
      <w:proofErr w:type="spellEnd"/>
      <w:r>
        <w:t xml:space="preserve"> donut shows 39.78% of total AQI weight falls in "Good", but a combined ~34% falls across Unhealthy/Very Unhealthy/Hazardous categories — a meaningful share of readings needing compliance attention.</w:t>
      </w:r>
    </w:p>
    <w:p w14:paraId="753564BD" w14:textId="77777777" w:rsidR="002A59E5" w:rsidRDefault="00490119">
      <w:r>
        <w:rPr>
          <w:b/>
        </w:rPr>
        <w:t>Goal/Coverage Achievement:</w:t>
      </w:r>
      <w:r>
        <w:t xml:space="preserve"> Count of station by Season is balanced across all four seasons (479–503 stations, ~24–26% each), confirming monitoring coverage was maintained consistently year-round. The Min of </w:t>
      </w:r>
      <w:proofErr w:type="spellStart"/>
      <w:r>
        <w:t>Wind_Speed_kmh</w:t>
      </w:r>
      <w:proofErr w:type="spellEnd"/>
      <w:r>
        <w:t xml:space="preserve"> by station chart also flags calm-air stations (as low as 6.3–11.7 km/h) as natural candidates for closer monitoring, since low wind limits pollutant dispersion.</w:t>
      </w:r>
    </w:p>
    <w:p w14:paraId="753564BE" w14:textId="77777777" w:rsidR="002A59E5" w:rsidRDefault="002A59E5"/>
    <w:p w14:paraId="753564BF" w14:textId="77777777" w:rsidR="002A59E5" w:rsidRDefault="00490119">
      <w:r>
        <w:rPr>
          <w:b/>
        </w:rPr>
        <w:t>Report 2: Air Quality Patterns &amp; Risk Analysis Report</w:t>
      </w:r>
    </w:p>
    <w:p w14:paraId="753564C0" w14:textId="77777777" w:rsidR="002A59E5" w:rsidRDefault="00490119">
      <w:r>
        <w:rPr>
          <w:noProof/>
        </w:rPr>
        <w:lastRenderedPageBreak/>
        <w:drawing>
          <wp:inline distT="0" distB="0" distL="0" distR="0" wp14:anchorId="753564CB" wp14:editId="753564CC">
            <wp:extent cx="5486400" cy="3084806"/>
            <wp:effectExtent l="0" t="0" r="0" b="0"/>
            <wp:docPr id="324832103" name="Picture 32483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8_152333.png"/>
                    <pic:cNvPicPr/>
                  </pic:nvPicPr>
                  <pic:blipFill>
                    <a:blip r:embed="rId8"/>
                    <a:stretch>
                      <a:fillRect/>
                    </a:stretch>
                  </pic:blipFill>
                  <pic:spPr>
                    <a:xfrm>
                      <a:off x="0" y="0"/>
                      <a:ext cx="5486400" cy="3084806"/>
                    </a:xfrm>
                    <a:prstGeom prst="rect">
                      <a:avLst/>
                    </a:prstGeom>
                  </pic:spPr>
                </pic:pic>
              </a:graphicData>
            </a:graphic>
          </wp:inline>
        </w:drawing>
      </w:r>
    </w:p>
    <w:p w14:paraId="753564C1" w14:textId="77777777" w:rsidR="002A59E5" w:rsidRDefault="00490119">
      <w:r>
        <w:rPr>
          <w:b/>
        </w:rPr>
        <w:t>Trends Over Time:</w:t>
      </w:r>
      <w:r>
        <w:t xml:space="preserve"> Average AQI by Hour stays fairly stable (~130–150) across the day, with a sharp drop after Hour 20 into the low 50s by Hour 23 — worth checking whether this reflects genuinely cleaner late-night air or a reporting gap.</w:t>
      </w:r>
    </w:p>
    <w:p w14:paraId="753564C2" w14:textId="77777777" w:rsidR="002A59E5" w:rsidRDefault="00490119">
      <w:r>
        <w:rPr>
          <w:b/>
        </w:rPr>
        <w:t>Performance Comparisons:</w:t>
      </w:r>
      <w:r>
        <w:t xml:space="preserve"> Average AQI by Day of Week is consistently high (~139–143) on most days, but one day (index 2) drops to 61.28 — a clear anomaly against the weekly pattern, possibly a data-collection gap or a genuine low-pollution event.</w:t>
      </w:r>
    </w:p>
    <w:p w14:paraId="753564C3" w14:textId="77777777" w:rsidR="002A59E5" w:rsidRDefault="00490119">
      <w:r>
        <w:rPr>
          <w:b/>
        </w:rPr>
        <w:t>Category/Regional Distribution:</w:t>
      </w:r>
      <w:r>
        <w:t xml:space="preserve"> Average AQI by state again places Sikkim highest (147.80), followed by Jharkhand (141.85) and Jammu and Kashmir (138.94) — consistent with the main dashboard's Decomposition Tree finding, confirming north-eastern/hill states as a recurring hotspot across multiple views.</w:t>
      </w:r>
    </w:p>
    <w:p w14:paraId="753564C4" w14:textId="77777777" w:rsidR="002A59E5" w:rsidRDefault="00490119">
      <w:r>
        <w:rPr>
          <w:b/>
        </w:rPr>
        <w:t>Goal/Risk Threshold Achievement:</w:t>
      </w:r>
      <w:r>
        <w:t xml:space="preserve"> The High AQI Readings KPI counts 88 readings flagged as high-risk out of 268 cities monitored — a concrete, trackable measure for how often the most severe threshold is breached, filterable live by </w:t>
      </w:r>
      <w:proofErr w:type="spellStart"/>
      <w:r>
        <w:t>AQI_Bucket</w:t>
      </w:r>
      <w:proofErr w:type="spellEnd"/>
      <w:r>
        <w:t xml:space="preserve"> and </w:t>
      </w:r>
      <w:proofErr w:type="spellStart"/>
      <w:r>
        <w:t>Day_of_Week</w:t>
      </w:r>
      <w:proofErr w:type="spellEnd"/>
      <w:r>
        <w:t xml:space="preserve"> via the report's slicers.</w:t>
      </w:r>
    </w:p>
    <w:sectPr w:rsidR="002A59E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99629E5-38A8-4109-97CF-BFE8FA044ED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639C84F-C99D-41EE-A81F-2009BC5A2D28}"/>
    <w:embedBold r:id="rId3" w:fontKey="{A3EE77C1-E1A2-4C5C-B150-2A33F7CEA345}"/>
  </w:font>
  <w:font w:name="Georgia">
    <w:panose1 w:val="02040502050405020303"/>
    <w:charset w:val="00"/>
    <w:family w:val="roman"/>
    <w:pitch w:val="variable"/>
    <w:sig w:usb0="00000287" w:usb1="00000000" w:usb2="00000000" w:usb3="00000000" w:csb0="0000009F" w:csb1="00000000"/>
    <w:embedItalic r:id="rId4" w:fontKey="{7851A933-CACB-4A3C-9FE0-5F01DF30E22C}"/>
  </w:font>
  <w:font w:name="Cambria">
    <w:panose1 w:val="02040503050406030204"/>
    <w:charset w:val="00"/>
    <w:family w:val="roman"/>
    <w:pitch w:val="variable"/>
    <w:sig w:usb0="E00006FF" w:usb1="420024FF" w:usb2="02000000" w:usb3="00000000" w:csb0="0000019F" w:csb1="00000000"/>
    <w:embedRegular r:id="rId5" w:fontKey="{83C2D51E-9984-4902-A6D9-C5A85144141B}"/>
    <w:embedBold r:id="rId6" w:fontKey="{5B16AC09-CCE2-4D15-B3EF-444C8B55545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33E0A483-146F-4F3B-B731-707C951A9C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206C"/>
    <w:multiLevelType w:val="multilevel"/>
    <w:tmpl w:val="304C24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C5E7DB5"/>
    <w:multiLevelType w:val="multilevel"/>
    <w:tmpl w:val="97DC3D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64458F"/>
    <w:multiLevelType w:val="multilevel"/>
    <w:tmpl w:val="9946A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F14328A"/>
    <w:multiLevelType w:val="multilevel"/>
    <w:tmpl w:val="214A6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253437"/>
    <w:multiLevelType w:val="multilevel"/>
    <w:tmpl w:val="BB2055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A80453"/>
    <w:multiLevelType w:val="multilevel"/>
    <w:tmpl w:val="2D9C0FA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50149518">
    <w:abstractNumId w:val="1"/>
  </w:num>
  <w:num w:numId="2" w16cid:durableId="1189755046">
    <w:abstractNumId w:val="4"/>
  </w:num>
  <w:num w:numId="3" w16cid:durableId="220292852">
    <w:abstractNumId w:val="2"/>
  </w:num>
  <w:num w:numId="4" w16cid:durableId="1965194159">
    <w:abstractNumId w:val="3"/>
  </w:num>
  <w:num w:numId="5" w16cid:durableId="2035111759">
    <w:abstractNumId w:val="0"/>
  </w:num>
  <w:num w:numId="6" w16cid:durableId="2091923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9E5"/>
    <w:rsid w:val="001C2692"/>
    <w:rsid w:val="002A59E5"/>
    <w:rsid w:val="00347B00"/>
    <w:rsid w:val="003942DD"/>
    <w:rsid w:val="00490119"/>
    <w:rsid w:val="00724B38"/>
    <w:rsid w:val="00B54B67"/>
    <w:rsid w:val="00B87979"/>
    <w:rsid w:val="00DF5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6489"/>
  <w15:docId w15:val="{9886C72F-DBBF-4B02-9AD9-74410F5F9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varalakshmi rapaka</cp:lastModifiedBy>
  <cp:revision>6</cp:revision>
  <dcterms:created xsi:type="dcterms:W3CDTF">2024-01-13T08:53:00Z</dcterms:created>
  <dcterms:modified xsi:type="dcterms:W3CDTF">2026-09-20T11:05:00Z</dcterms:modified>
</cp:coreProperties>
</file>