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5A905" w14:textId="77777777" w:rsidR="00A824FD" w:rsidRDefault="000B6029">
      <w:pPr>
        <w:rPr>
          <w:rFonts w:ascii="Cambria" w:eastAsia="Cambria" w:hAnsi="Cambria" w:cs="Cambria"/>
          <w:b/>
          <w:bCs/>
          <w:sz w:val="32"/>
          <w:szCs w:val="32"/>
          <w:highlight w:val="white"/>
        </w:rPr>
      </w:pPr>
      <w:r>
        <w:rPr>
          <w:rFonts w:ascii="Cambria" w:eastAsia="Cambria" w:hAnsi="Cambria" w:cs="Cambria"/>
          <w:b/>
          <w:bCs/>
          <w:noProof/>
          <w:sz w:val="32"/>
          <w:szCs w:val="32"/>
          <w:highlight w:val="white"/>
        </w:rPr>
        <w:drawing>
          <wp:anchor distT="0" distB="0" distL="0" distR="0" simplePos="0" relativeHeight="251658240" behindDoc="1" locked="0" layoutInCell="1" hidden="0" allowOverlap="1" wp14:anchorId="2135A933" wp14:editId="2135A934">
            <wp:simplePos x="0" y="0"/>
            <wp:positionH relativeFrom="page">
              <wp:posOffset>6486525</wp:posOffset>
            </wp:positionH>
            <wp:positionV relativeFrom="page">
              <wp:posOffset>104775</wp:posOffset>
            </wp:positionV>
            <wp:extent cx="990600" cy="495300"/>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990600" cy="495300"/>
                    </a:xfrm>
                    <a:prstGeom prst="rect">
                      <a:avLst/>
                    </a:prstGeom>
                    <a:ln/>
                  </pic:spPr>
                </pic:pic>
              </a:graphicData>
            </a:graphic>
          </wp:anchor>
        </w:drawing>
      </w:r>
      <w:r>
        <w:rPr>
          <w:rFonts w:ascii="Cambria" w:eastAsia="Cambria" w:hAnsi="Cambria" w:cs="Cambria"/>
          <w:b/>
          <w:bCs/>
          <w:color w:val="000000"/>
          <w:sz w:val="32"/>
          <w:szCs w:val="32"/>
          <w:highlight w:val="white"/>
        </w:rPr>
        <w:t xml:space="preserve">                                      Dashboard Design</w:t>
      </w:r>
    </w:p>
    <w:p w14:paraId="2135A906" w14:textId="77777777" w:rsidR="00A824FD" w:rsidRDefault="00A824FD">
      <w:pPr>
        <w:widowControl w:val="0"/>
        <w:spacing w:before="39" w:after="0" w:line="240" w:lineRule="auto"/>
        <w:ind w:left="2701"/>
        <w:rPr>
          <w:b/>
          <w:bCs/>
          <w:sz w:val="28"/>
          <w:szCs w:val="28"/>
        </w:rPr>
      </w:pPr>
    </w:p>
    <w:tbl>
      <w:tblPr>
        <w:tblStyle w:val="a0"/>
        <w:tblW w:w="90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7"/>
        <w:gridCol w:w="4511"/>
      </w:tblGrid>
      <w:tr w:rsidR="00A824FD" w14:paraId="2135A909" w14:textId="77777777">
        <w:trPr>
          <w:trHeight w:val="278"/>
        </w:trPr>
        <w:tc>
          <w:tcPr>
            <w:tcW w:w="4507" w:type="dxa"/>
            <w:tcMar>
              <w:top w:w="100" w:type="dxa"/>
              <w:left w:w="100" w:type="dxa"/>
              <w:bottom w:w="100" w:type="dxa"/>
              <w:right w:w="100" w:type="dxa"/>
            </w:tcMar>
          </w:tcPr>
          <w:p w14:paraId="2135A907" w14:textId="77777777" w:rsidR="00A824FD" w:rsidRDefault="000B6029">
            <w:pPr>
              <w:widowControl w:val="0"/>
              <w:spacing w:after="0" w:line="240" w:lineRule="auto"/>
              <w:ind w:left="131"/>
            </w:pPr>
            <w:r>
              <w:t xml:space="preserve">Date </w:t>
            </w:r>
          </w:p>
        </w:tc>
        <w:tc>
          <w:tcPr>
            <w:tcW w:w="4511" w:type="dxa"/>
            <w:tcMar>
              <w:top w:w="100" w:type="dxa"/>
              <w:left w:w="100" w:type="dxa"/>
              <w:bottom w:w="100" w:type="dxa"/>
              <w:right w:w="100" w:type="dxa"/>
            </w:tcMar>
          </w:tcPr>
          <w:p w14:paraId="2135A908" w14:textId="62B4ABBA" w:rsidR="00A824FD" w:rsidRDefault="00C26683">
            <w:r>
              <w:t>21</w:t>
            </w:r>
            <w:r w:rsidR="000B6029">
              <w:t xml:space="preserve"> September 2026</w:t>
            </w:r>
          </w:p>
        </w:tc>
      </w:tr>
      <w:tr w:rsidR="00A824FD" w14:paraId="2135A90C" w14:textId="77777777">
        <w:trPr>
          <w:trHeight w:val="278"/>
        </w:trPr>
        <w:tc>
          <w:tcPr>
            <w:tcW w:w="4507" w:type="dxa"/>
            <w:tcMar>
              <w:top w:w="100" w:type="dxa"/>
              <w:left w:w="100" w:type="dxa"/>
              <w:bottom w:w="100" w:type="dxa"/>
              <w:right w:w="100" w:type="dxa"/>
            </w:tcMar>
          </w:tcPr>
          <w:p w14:paraId="2135A90A" w14:textId="77777777" w:rsidR="00A824FD" w:rsidRDefault="000B6029">
            <w:pPr>
              <w:widowControl w:val="0"/>
              <w:spacing w:after="0" w:line="240" w:lineRule="auto"/>
              <w:ind w:left="114"/>
            </w:pPr>
            <w:r>
              <w:t xml:space="preserve">Team ID </w:t>
            </w:r>
          </w:p>
        </w:tc>
        <w:tc>
          <w:tcPr>
            <w:tcW w:w="4511" w:type="dxa"/>
            <w:tcMar>
              <w:top w:w="100" w:type="dxa"/>
              <w:left w:w="100" w:type="dxa"/>
              <w:bottom w:w="100" w:type="dxa"/>
              <w:right w:w="100" w:type="dxa"/>
            </w:tcMar>
          </w:tcPr>
          <w:p w14:paraId="2135A90B" w14:textId="238AFA85" w:rsidR="00A824FD" w:rsidRDefault="00256588">
            <w:r>
              <w:t>MCA</w:t>
            </w:r>
            <w:r w:rsidR="00C26683">
              <w:t>(Master of Computer Applications)</w:t>
            </w:r>
          </w:p>
        </w:tc>
      </w:tr>
      <w:tr w:rsidR="00A824FD" w14:paraId="2135A90F" w14:textId="77777777">
        <w:trPr>
          <w:trHeight w:val="278"/>
        </w:trPr>
        <w:tc>
          <w:tcPr>
            <w:tcW w:w="4507" w:type="dxa"/>
            <w:tcMar>
              <w:top w:w="100" w:type="dxa"/>
              <w:left w:w="100" w:type="dxa"/>
              <w:bottom w:w="100" w:type="dxa"/>
              <w:right w:w="100" w:type="dxa"/>
            </w:tcMar>
          </w:tcPr>
          <w:p w14:paraId="2135A90D" w14:textId="77777777" w:rsidR="00A824FD" w:rsidRDefault="000B6029">
            <w:pPr>
              <w:widowControl w:val="0"/>
              <w:spacing w:after="0" w:line="240" w:lineRule="auto"/>
              <w:ind w:left="131"/>
            </w:pPr>
            <w:r>
              <w:t xml:space="preserve">Project Name </w:t>
            </w:r>
          </w:p>
        </w:tc>
        <w:tc>
          <w:tcPr>
            <w:tcW w:w="4511" w:type="dxa"/>
            <w:tcMar>
              <w:top w:w="100" w:type="dxa"/>
              <w:left w:w="100" w:type="dxa"/>
              <w:bottom w:w="100" w:type="dxa"/>
              <w:right w:w="100" w:type="dxa"/>
            </w:tcMar>
          </w:tcPr>
          <w:p w14:paraId="2135A90E" w14:textId="77777777" w:rsidR="00A824FD" w:rsidRDefault="000B6029">
            <w:r>
              <w:t>Air Quality Intelligence: India Air Pollution Monitoring, Operational and Risk Analysis</w:t>
            </w:r>
          </w:p>
        </w:tc>
      </w:tr>
      <w:tr w:rsidR="00A824FD" w14:paraId="2135A912" w14:textId="77777777">
        <w:trPr>
          <w:trHeight w:val="278"/>
        </w:trPr>
        <w:tc>
          <w:tcPr>
            <w:tcW w:w="4507" w:type="dxa"/>
            <w:tcMar>
              <w:top w:w="100" w:type="dxa"/>
              <w:left w:w="100" w:type="dxa"/>
              <w:bottom w:w="100" w:type="dxa"/>
              <w:right w:w="100" w:type="dxa"/>
            </w:tcMar>
          </w:tcPr>
          <w:p w14:paraId="2135A910" w14:textId="77777777" w:rsidR="00A824FD" w:rsidRDefault="000B6029">
            <w:pPr>
              <w:widowControl w:val="0"/>
              <w:spacing w:after="0" w:line="240" w:lineRule="auto"/>
              <w:ind w:left="131"/>
            </w:pPr>
            <w:r>
              <w:t xml:space="preserve">Maximum Marks </w:t>
            </w:r>
          </w:p>
        </w:tc>
        <w:tc>
          <w:tcPr>
            <w:tcW w:w="4511" w:type="dxa"/>
            <w:tcMar>
              <w:top w:w="100" w:type="dxa"/>
              <w:left w:w="100" w:type="dxa"/>
              <w:bottom w:w="100" w:type="dxa"/>
              <w:right w:w="100" w:type="dxa"/>
            </w:tcMar>
          </w:tcPr>
          <w:p w14:paraId="2135A911" w14:textId="77777777" w:rsidR="00A824FD" w:rsidRDefault="000B6029">
            <w:pPr>
              <w:widowControl w:val="0"/>
              <w:spacing w:after="0" w:line="240" w:lineRule="auto"/>
              <w:ind w:left="125"/>
            </w:pPr>
            <w:r>
              <w:t>5  Marks</w:t>
            </w:r>
          </w:p>
        </w:tc>
      </w:tr>
    </w:tbl>
    <w:p w14:paraId="2135A913" w14:textId="77777777" w:rsidR="00A824FD" w:rsidRDefault="00A824FD">
      <w:pPr>
        <w:widowControl w:val="0"/>
        <w:spacing w:after="0" w:line="276" w:lineRule="auto"/>
        <w:rPr>
          <w:rFonts w:ascii="Cambria" w:eastAsia="Cambria" w:hAnsi="Cambria" w:cs="Cambria"/>
          <w:b/>
          <w:bCs/>
          <w:sz w:val="32"/>
          <w:szCs w:val="32"/>
          <w:highlight w:val="white"/>
        </w:rPr>
      </w:pPr>
    </w:p>
    <w:p w14:paraId="2135A914" w14:textId="77777777" w:rsidR="00A824FD" w:rsidRDefault="000B6029">
      <w:pPr>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Creating an effective dashboard involves thoughtful design to ensure that the presented information is clear, relevant, and easily understandable for the intended audience. Here are some key principles and best practices for dashboard design</w:t>
      </w:r>
    </w:p>
    <w:p w14:paraId="2135A915" w14:textId="77777777" w:rsidR="00A824FD" w:rsidRDefault="000B6029">
      <w:pPr>
        <w:rPr>
          <w:rFonts w:ascii="Cambria" w:eastAsia="Cambria" w:hAnsi="Cambria" w:cs="Cambria"/>
          <w:b/>
          <w:bCs/>
          <w:color w:val="000000"/>
          <w:sz w:val="24"/>
          <w:szCs w:val="24"/>
          <w:highlight w:val="white"/>
        </w:rPr>
      </w:pPr>
      <w:r>
        <w:rPr>
          <w:rFonts w:ascii="Cambria" w:eastAsia="Cambria" w:hAnsi="Cambria" w:cs="Cambria"/>
          <w:b/>
          <w:bCs/>
          <w:color w:val="000000"/>
          <w:sz w:val="32"/>
          <w:szCs w:val="32"/>
          <w:highlight w:val="white"/>
        </w:rPr>
        <w:tab/>
      </w:r>
      <w:r>
        <w:rPr>
          <w:rFonts w:ascii="Cambria" w:eastAsia="Cambria" w:hAnsi="Cambria" w:cs="Cambria"/>
          <w:b/>
          <w:bCs/>
          <w:color w:val="000000"/>
          <w:sz w:val="24"/>
          <w:szCs w:val="24"/>
          <w:highlight w:val="white"/>
        </w:rPr>
        <w:t xml:space="preserve">Activity 1: Interactive and visually appealing dashboards </w:t>
      </w:r>
    </w:p>
    <w:p w14:paraId="2135A916" w14:textId="77777777" w:rsidR="00A824FD" w:rsidRDefault="000B6029">
      <w:pPr>
        <w:ind w:left="72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Creating interactive and visually appealing dashboards involves a combination of thoughtful design, effective use of visual elements, and the incorporation of interactive features. Here are some tips to help you design dashboards that are both visually appealing and engaging for users  so take care of below points</w:t>
      </w:r>
    </w:p>
    <w:p w14:paraId="2135A917" w14:textId="77777777" w:rsidR="00A824FD" w:rsidRDefault="000B6029">
      <w:pPr>
        <w:numPr>
          <w:ilvl w:val="0"/>
          <w:numId w:val="1"/>
        </w:numPr>
        <w:pBdr>
          <w:top w:val="nil"/>
          <w:left w:val="nil"/>
          <w:bottom w:val="nil"/>
          <w:right w:val="nil"/>
          <w:between w:val="nil"/>
        </w:pBdr>
        <w:spacing w:after="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Clear and Intuitive Layout</w:t>
      </w:r>
    </w:p>
    <w:p w14:paraId="2135A918" w14:textId="77777777" w:rsidR="00A824FD" w:rsidRDefault="000B6029">
      <w:pPr>
        <w:numPr>
          <w:ilvl w:val="0"/>
          <w:numId w:val="1"/>
        </w:numPr>
        <w:pBdr>
          <w:top w:val="nil"/>
          <w:left w:val="nil"/>
          <w:bottom w:val="nil"/>
          <w:right w:val="nil"/>
          <w:between w:val="nil"/>
        </w:pBdr>
        <w:spacing w:after="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Use Appropriate Visualizations</w:t>
      </w:r>
    </w:p>
    <w:p w14:paraId="2135A919" w14:textId="77777777" w:rsidR="00A824FD" w:rsidRDefault="000B6029">
      <w:pPr>
        <w:numPr>
          <w:ilvl w:val="0"/>
          <w:numId w:val="1"/>
        </w:numPr>
        <w:pBdr>
          <w:top w:val="nil"/>
          <w:left w:val="nil"/>
          <w:bottom w:val="nil"/>
          <w:right w:val="nil"/>
          <w:between w:val="nil"/>
        </w:pBdr>
        <w:spacing w:after="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Colour and Theming</w:t>
      </w:r>
    </w:p>
    <w:p w14:paraId="2135A91A" w14:textId="77777777" w:rsidR="00A824FD" w:rsidRDefault="000B6029">
      <w:pPr>
        <w:numPr>
          <w:ilvl w:val="0"/>
          <w:numId w:val="1"/>
        </w:numPr>
        <w:pBdr>
          <w:top w:val="nil"/>
          <w:left w:val="nil"/>
          <w:bottom w:val="nil"/>
          <w:right w:val="nil"/>
          <w:between w:val="nil"/>
        </w:pBdr>
        <w:spacing w:after="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Interactive Filters and Slicers</w:t>
      </w:r>
    </w:p>
    <w:p w14:paraId="2135A91B" w14:textId="77777777" w:rsidR="00A824FD" w:rsidRDefault="000B6029">
      <w:pPr>
        <w:numPr>
          <w:ilvl w:val="0"/>
          <w:numId w:val="1"/>
        </w:numPr>
        <w:pBdr>
          <w:top w:val="nil"/>
          <w:left w:val="nil"/>
          <w:bottom w:val="nil"/>
          <w:right w:val="nil"/>
          <w:between w:val="nil"/>
        </w:pBdr>
        <w:spacing w:after="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Drill-Down Capabilities</w:t>
      </w:r>
    </w:p>
    <w:p w14:paraId="2135A91C" w14:textId="77777777" w:rsidR="00A824FD" w:rsidRDefault="000B6029">
      <w:pPr>
        <w:numPr>
          <w:ilvl w:val="0"/>
          <w:numId w:val="1"/>
        </w:numPr>
        <w:pBdr>
          <w:top w:val="nil"/>
          <w:left w:val="nil"/>
          <w:bottom w:val="nil"/>
          <w:right w:val="nil"/>
          <w:between w:val="nil"/>
        </w:pBdr>
        <w:spacing w:after="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Responsive Design</w:t>
      </w:r>
    </w:p>
    <w:p w14:paraId="2135A91D" w14:textId="77777777" w:rsidR="00A824FD" w:rsidRDefault="000B6029">
      <w:pPr>
        <w:numPr>
          <w:ilvl w:val="0"/>
          <w:numId w:val="1"/>
        </w:numPr>
        <w:pBdr>
          <w:top w:val="nil"/>
          <w:left w:val="nil"/>
          <w:bottom w:val="nil"/>
          <w:right w:val="nil"/>
          <w:between w:val="nil"/>
        </w:pBdr>
        <w:spacing w:after="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Custom Visuals and Icons</w:t>
      </w:r>
    </w:p>
    <w:p w14:paraId="2135A921" w14:textId="09C786E7" w:rsidR="00A824FD" w:rsidRPr="001F5A68" w:rsidRDefault="000B6029" w:rsidP="001F5A68">
      <w:pPr>
        <w:numPr>
          <w:ilvl w:val="0"/>
          <w:numId w:val="1"/>
        </w:numPr>
        <w:pBdr>
          <w:top w:val="nil"/>
          <w:left w:val="nil"/>
          <w:bottom w:val="nil"/>
          <w:right w:val="nil"/>
          <w:between w:val="nil"/>
        </w:pBdr>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Use of Infographic</w:t>
      </w:r>
      <w:r w:rsidR="001F5A68">
        <w:rPr>
          <w:rFonts w:ascii="Cambria" w:eastAsia="Cambria" w:hAnsi="Cambria" w:cs="Cambria"/>
          <w:color w:val="000000"/>
          <w:sz w:val="24"/>
          <w:szCs w:val="24"/>
          <w:highlight w:val="white"/>
        </w:rPr>
        <w:t>s</w:t>
      </w:r>
    </w:p>
    <w:p w14:paraId="2135A929" w14:textId="77777777" w:rsidR="00A824FD" w:rsidRDefault="00A824FD">
      <w:pPr>
        <w:spacing w:after="200" w:line="240" w:lineRule="auto"/>
      </w:pPr>
    </w:p>
    <w:p w14:paraId="2135A92A" w14:textId="77777777" w:rsidR="00A824FD" w:rsidRDefault="00A824FD"/>
    <w:p w14:paraId="2135A92B" w14:textId="2607DAA2" w:rsidR="00A824FD" w:rsidRPr="00AA2790" w:rsidRDefault="000B6029">
      <w:pPr>
        <w:pStyle w:val="Heading2"/>
        <w:rPr>
          <w:sz w:val="44"/>
          <w:szCs w:val="44"/>
        </w:rPr>
      </w:pPr>
      <w:r w:rsidRPr="00AA2790">
        <w:rPr>
          <w:sz w:val="44"/>
          <w:szCs w:val="44"/>
        </w:rPr>
        <w:t xml:space="preserve"> Dashboard Outcomes (Air Quality Intelligence)</w:t>
      </w:r>
    </w:p>
    <w:p w14:paraId="44C22B0F" w14:textId="17DF1F5A" w:rsidR="00D50F06" w:rsidRDefault="000B6029">
      <w:r>
        <w:t>Here are five potential outcomes from my Air Quality Intelligence dashboard:</w:t>
      </w:r>
      <w:r w:rsidR="001F5A68">
        <w:t xml:space="preserve"> </w:t>
      </w:r>
    </w:p>
    <w:p w14:paraId="2135A92C" w14:textId="78F75D45" w:rsidR="00A824FD" w:rsidRDefault="00D50F06">
      <w:r>
        <w:rPr>
          <w:noProof/>
        </w:rPr>
        <w:lastRenderedPageBreak/>
        <w:drawing>
          <wp:inline distT="0" distB="0" distL="0" distR="0" wp14:anchorId="675F684E" wp14:editId="73BEC779">
            <wp:extent cx="5731510" cy="3227070"/>
            <wp:effectExtent l="0" t="0" r="2540" b="0"/>
            <wp:docPr id="2049484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484994" name="Picture 2049484994"/>
                    <pic:cNvPicPr/>
                  </pic:nvPicPr>
                  <pic:blipFill>
                    <a:blip r:embed="rId7">
                      <a:extLst>
                        <a:ext uri="{28A0092B-C50C-407E-A947-70E740481C1C}">
                          <a14:useLocalDpi xmlns:a14="http://schemas.microsoft.com/office/drawing/2010/main" val="0"/>
                        </a:ext>
                      </a:extLst>
                    </a:blip>
                    <a:stretch>
                      <a:fillRect/>
                    </a:stretch>
                  </pic:blipFill>
                  <pic:spPr>
                    <a:xfrm>
                      <a:off x="0" y="0"/>
                      <a:ext cx="5731510" cy="3227070"/>
                    </a:xfrm>
                    <a:prstGeom prst="rect">
                      <a:avLst/>
                    </a:prstGeom>
                  </pic:spPr>
                </pic:pic>
              </a:graphicData>
            </a:graphic>
          </wp:inline>
        </w:drawing>
      </w:r>
    </w:p>
    <w:p w14:paraId="2135A92D" w14:textId="002FE81B" w:rsidR="00A824FD" w:rsidRDefault="00A824FD"/>
    <w:p w14:paraId="2135A92E" w14:textId="77777777" w:rsidR="00A824FD" w:rsidRDefault="000B6029">
      <w:pPr>
        <w:ind w:left="360"/>
      </w:pPr>
      <w:r>
        <w:t xml:space="preserve">1. </w:t>
      </w:r>
      <w:r>
        <w:rPr>
          <w:b/>
        </w:rPr>
        <w:t>Overall Air Quality Status:</w:t>
      </w:r>
      <w:r>
        <w:t xml:space="preserve"> The dashboard shows an average AQI of 108.37 across all monitored readings, which falls in the "Unhealthy for Sensitive Groups" range, and a maximum recorded AQI of 494, close to the "Hazardous" ceiling.</w:t>
      </w:r>
    </w:p>
    <w:p w14:paraId="2135A92F" w14:textId="77777777" w:rsidR="00A824FD" w:rsidRDefault="000B6029">
      <w:pPr>
        <w:ind w:left="360"/>
      </w:pPr>
      <w:r>
        <w:t xml:space="preserve">2. </w:t>
      </w:r>
      <w:r>
        <w:rPr>
          <w:b/>
        </w:rPr>
        <w:t>Monitoring Coverage:</w:t>
      </w:r>
      <w:r>
        <w:t xml:space="preserve"> The dashboard tracks 268 cities and 503 monitoring stations, confirming broad, high-resolution national coverage rather than a handful of concentrated hotspots.</w:t>
      </w:r>
    </w:p>
    <w:p w14:paraId="2135A930" w14:textId="77777777" w:rsidR="00A824FD" w:rsidRDefault="000B6029">
      <w:pPr>
        <w:ind w:left="360"/>
      </w:pPr>
      <w:r>
        <w:t xml:space="preserve">3. </w:t>
      </w:r>
      <w:r>
        <w:rPr>
          <w:b/>
        </w:rPr>
        <w:t>City-Level Hotspots:</w:t>
      </w:r>
      <w:r>
        <w:t xml:space="preserve"> Cuddalore, Karwar, and Raebareli top the Average AQI by city chart, showing that mid-sized/industrial cities — not just major metros — register the most severe average pollution.</w:t>
      </w:r>
    </w:p>
    <w:p w14:paraId="2135A931" w14:textId="77777777" w:rsidR="00A824FD" w:rsidRDefault="000B6029">
      <w:pPr>
        <w:ind w:left="360"/>
      </w:pPr>
      <w:r>
        <w:t xml:space="preserve">4. </w:t>
      </w:r>
      <w:r>
        <w:rPr>
          <w:b/>
        </w:rPr>
        <w:t>Seasonal/Monthly Anomaly:</w:t>
      </w:r>
      <w:r>
        <w:t xml:space="preserve"> The Average AQI by Month line shows a sharp, isolated dip around month 6 (53.59) against an otherwise consistent 134–147 range, suggesting a data gap or a genuine short-term environmental event worth validating.</w:t>
      </w:r>
    </w:p>
    <w:p w14:paraId="2135A932" w14:textId="77777777" w:rsidR="00A824FD" w:rsidRDefault="000B6029">
      <w:pPr>
        <w:ind w:left="360"/>
      </w:pPr>
      <w:r>
        <w:t xml:space="preserve">5. </w:t>
      </w:r>
      <w:r>
        <w:rPr>
          <w:b/>
        </w:rPr>
        <w:t>Pollutant and Drill-Down Insight:</w:t>
      </w:r>
      <w:r>
        <w:t xml:space="preserve"> PM10 (116.33) and PM2.5 (113.09) are the highest-averaging pollutants, and the Decomposition Tree drills from the overall Maximum AQI (494) down through pollutant, station, state, and city — pinpointing exactly which locations drive the worst readings.</w:t>
      </w:r>
    </w:p>
    <w:sectPr w:rsidR="00A824FD">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F6B799BF-A00E-4C7E-B6CA-C8397C112707}"/>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A227BF95-1E4C-42E9-BB67-71C50E40C71F}"/>
    <w:embedBold r:id="rId3" w:fontKey="{968B8B74-AFCB-4A0B-83BD-C917A44461D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69B7FFD2-68DA-4DB7-B1C3-8AEDA1CA7A9A}"/>
  </w:font>
  <w:font w:name="Cambria">
    <w:panose1 w:val="02040503050406030204"/>
    <w:charset w:val="00"/>
    <w:family w:val="roman"/>
    <w:pitch w:val="variable"/>
    <w:sig w:usb0="E00006FF" w:usb1="420024FF" w:usb2="02000000" w:usb3="00000000" w:csb0="0000019F" w:csb1="00000000"/>
    <w:embedRegular r:id="rId5" w:fontKey="{A5A8521A-C552-4BEC-B04B-804845AB6B93}"/>
    <w:embedBold r:id="rId6" w:fontKey="{09E857BB-F7F4-4186-8459-A4B70475BC17}"/>
  </w:font>
  <w:font w:name="Calibri Light">
    <w:panose1 w:val="020F0302020204030204"/>
    <w:charset w:val="00"/>
    <w:family w:val="swiss"/>
    <w:pitch w:val="variable"/>
    <w:sig w:usb0="E4002EFF" w:usb1="C200247B" w:usb2="00000009" w:usb3="00000000" w:csb0="000001FF" w:csb1="00000000"/>
    <w:embedRegular r:id="rId7" w:fontKey="{8DE734D1-910F-49E3-9BEB-D0A3F4869FA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13848"/>
    <w:multiLevelType w:val="multilevel"/>
    <w:tmpl w:val="62666CF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5CFA1BA8"/>
    <w:multiLevelType w:val="multilevel"/>
    <w:tmpl w:val="6A8023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16727615">
    <w:abstractNumId w:val="0"/>
  </w:num>
  <w:num w:numId="2" w16cid:durableId="14235991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24FD"/>
    <w:rsid w:val="000B6029"/>
    <w:rsid w:val="001F5A68"/>
    <w:rsid w:val="00256588"/>
    <w:rsid w:val="003A4D4F"/>
    <w:rsid w:val="00401BBC"/>
    <w:rsid w:val="0069229B"/>
    <w:rsid w:val="006F0D76"/>
    <w:rsid w:val="009615DB"/>
    <w:rsid w:val="00A824FD"/>
    <w:rsid w:val="00AA2790"/>
    <w:rsid w:val="00C26683"/>
    <w:rsid w:val="00D50F06"/>
    <w:rsid w:val="00E531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5A905"/>
  <w15:docId w15:val="{F297639D-A56D-4959-8965-9EE926EA5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17E"/>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7E317E"/>
    <w:rPr>
      <w:color w:val="0563C1" w:themeColor="hyperlink"/>
      <w:u w:val="single"/>
    </w:rPr>
  </w:style>
  <w:style w:type="paragraph" w:styleId="ListParagraph">
    <w:name w:val="List Paragraph"/>
    <w:basedOn w:val="Normal"/>
    <w:uiPriority w:val="1"/>
    <w:qFormat/>
    <w:rsid w:val="007E317E"/>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8dmjoeOYB0z58e5B+zfsNeIzCg==">CgMxLjA4AHIhMXYzY2J2SnJ1ZUpUX3ZucDVKdFNqaFlCTWV0WEdvazlM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351</Words>
  <Characters>2005</Characters>
  <Application>Microsoft Office Word</Application>
  <DocSecurity>0</DocSecurity>
  <Lines>16</Lines>
  <Paragraphs>4</Paragraphs>
  <ScaleCrop>false</ScaleCrop>
  <Company/>
  <LinksUpToDate>false</LinksUpToDate>
  <CharactersWithSpaces>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varalakshmi rapaka</cp:lastModifiedBy>
  <cp:revision>9</cp:revision>
  <dcterms:created xsi:type="dcterms:W3CDTF">2024-01-13T08:54:00Z</dcterms:created>
  <dcterms:modified xsi:type="dcterms:W3CDTF">2026-09-20T10:56:00Z</dcterms:modified>
</cp:coreProperties>
</file>