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F8E9D" w14:textId="77777777" w:rsidR="001A4A58" w:rsidRDefault="00000000">
      <w:pPr>
        <w:spacing w:after="44"/>
        <w:ind w:left="29" w:firstLine="0"/>
        <w:jc w:val="center"/>
      </w:pPr>
      <w:r>
        <w:rPr>
          <w:b/>
          <w:sz w:val="36"/>
        </w:rPr>
        <w:t>Solution Architecture</w:t>
      </w:r>
    </w:p>
    <w:p w14:paraId="127EF5E7" w14:textId="77777777" w:rsidR="001A4A58" w:rsidRDefault="00000000">
      <w:pPr>
        <w:spacing w:after="0"/>
        <w:ind w:left="28" w:firstLine="0"/>
        <w:jc w:val="center"/>
      </w:pPr>
      <w:r>
        <w:rPr>
          <w:b/>
          <w:sz w:val="32"/>
        </w:rPr>
        <w:t>(Incident Lifecycle Management System)</w:t>
      </w:r>
    </w:p>
    <w:tbl>
      <w:tblPr>
        <w:tblStyle w:val="TableGrid"/>
        <w:tblW w:w="9936" w:type="dxa"/>
        <w:tblInd w:w="-110" w:type="dxa"/>
        <w:tblCellMar>
          <w:top w:w="113" w:type="dxa"/>
          <w:left w:w="110" w:type="dxa"/>
          <w:bottom w:w="0" w:type="dxa"/>
          <w:right w:w="115" w:type="dxa"/>
        </w:tblCellMar>
        <w:tblLook w:val="04A0" w:firstRow="1" w:lastRow="0" w:firstColumn="1" w:lastColumn="0" w:noHBand="0" w:noVBand="1"/>
      </w:tblPr>
      <w:tblGrid>
        <w:gridCol w:w="4968"/>
        <w:gridCol w:w="4968"/>
      </w:tblGrid>
      <w:tr w:rsidR="001A4A58" w14:paraId="3346FB57" w14:textId="77777777">
        <w:trPr>
          <w:trHeight w:val="486"/>
        </w:trPr>
        <w:tc>
          <w:tcPr>
            <w:tcW w:w="4968" w:type="dxa"/>
            <w:tcBorders>
              <w:top w:val="single" w:sz="4" w:space="0" w:color="000000"/>
              <w:left w:val="single" w:sz="4" w:space="0" w:color="000000"/>
              <w:bottom w:val="single" w:sz="4" w:space="0" w:color="000000"/>
              <w:right w:val="single" w:sz="4" w:space="0" w:color="000000"/>
            </w:tcBorders>
            <w:vAlign w:val="center"/>
          </w:tcPr>
          <w:p w14:paraId="2BAC62BB" w14:textId="77777777" w:rsidR="001A4A58" w:rsidRDefault="00000000">
            <w:pPr>
              <w:spacing w:after="0"/>
              <w:ind w:left="0" w:firstLine="0"/>
            </w:pPr>
            <w:r>
              <w:rPr>
                <w:b/>
              </w:rPr>
              <w:t>Date</w:t>
            </w:r>
          </w:p>
        </w:tc>
        <w:tc>
          <w:tcPr>
            <w:tcW w:w="4968" w:type="dxa"/>
            <w:tcBorders>
              <w:top w:val="single" w:sz="4" w:space="0" w:color="000000"/>
              <w:left w:val="single" w:sz="4" w:space="0" w:color="000000"/>
              <w:bottom w:val="single" w:sz="4" w:space="0" w:color="000000"/>
              <w:right w:val="single" w:sz="4" w:space="0" w:color="000000"/>
            </w:tcBorders>
            <w:vAlign w:val="center"/>
          </w:tcPr>
          <w:p w14:paraId="0F54622C" w14:textId="77777777" w:rsidR="001A4A58" w:rsidRDefault="00000000">
            <w:pPr>
              <w:spacing w:after="0"/>
              <w:ind w:left="0" w:firstLine="0"/>
            </w:pPr>
            <w:r>
              <w:t>21 October 2026</w:t>
            </w:r>
          </w:p>
        </w:tc>
      </w:tr>
      <w:tr w:rsidR="001A4A58" w14:paraId="2521621D" w14:textId="77777777">
        <w:trPr>
          <w:trHeight w:val="486"/>
        </w:trPr>
        <w:tc>
          <w:tcPr>
            <w:tcW w:w="4968" w:type="dxa"/>
            <w:tcBorders>
              <w:top w:val="single" w:sz="4" w:space="0" w:color="000000"/>
              <w:left w:val="single" w:sz="4" w:space="0" w:color="000000"/>
              <w:bottom w:val="single" w:sz="4" w:space="0" w:color="000000"/>
              <w:right w:val="single" w:sz="4" w:space="0" w:color="000000"/>
            </w:tcBorders>
            <w:vAlign w:val="center"/>
          </w:tcPr>
          <w:p w14:paraId="45250BC7" w14:textId="77777777" w:rsidR="001A4A58" w:rsidRDefault="00000000">
            <w:pPr>
              <w:spacing w:after="0"/>
              <w:ind w:left="0" w:firstLine="0"/>
            </w:pPr>
            <w:r>
              <w:rPr>
                <w:b/>
              </w:rPr>
              <w:t>Team ID</w:t>
            </w:r>
          </w:p>
        </w:tc>
        <w:tc>
          <w:tcPr>
            <w:tcW w:w="4968" w:type="dxa"/>
            <w:tcBorders>
              <w:top w:val="single" w:sz="4" w:space="0" w:color="000000"/>
              <w:left w:val="single" w:sz="4" w:space="0" w:color="000000"/>
              <w:bottom w:val="single" w:sz="4" w:space="0" w:color="000000"/>
              <w:right w:val="single" w:sz="4" w:space="0" w:color="000000"/>
            </w:tcBorders>
            <w:vAlign w:val="center"/>
          </w:tcPr>
          <w:p w14:paraId="39419C99" w14:textId="76FF5242" w:rsidR="001A4A58" w:rsidRDefault="001A4A58">
            <w:pPr>
              <w:spacing w:after="0"/>
              <w:ind w:left="0" w:firstLine="0"/>
            </w:pPr>
          </w:p>
        </w:tc>
      </w:tr>
      <w:tr w:rsidR="001A4A58" w14:paraId="6A287DDE" w14:textId="77777777">
        <w:trPr>
          <w:trHeight w:val="762"/>
        </w:trPr>
        <w:tc>
          <w:tcPr>
            <w:tcW w:w="4968" w:type="dxa"/>
            <w:tcBorders>
              <w:top w:val="single" w:sz="4" w:space="0" w:color="000000"/>
              <w:left w:val="single" w:sz="4" w:space="0" w:color="000000"/>
              <w:bottom w:val="single" w:sz="4" w:space="0" w:color="000000"/>
              <w:right w:val="single" w:sz="4" w:space="0" w:color="000000"/>
            </w:tcBorders>
          </w:tcPr>
          <w:p w14:paraId="0CBDC5C9" w14:textId="77777777" w:rsidR="001A4A58" w:rsidRDefault="00000000">
            <w:pPr>
              <w:spacing w:after="0"/>
              <w:ind w:left="0" w:firstLine="0"/>
            </w:pPr>
            <w:r>
              <w:rPr>
                <w:b/>
              </w:rPr>
              <w:t>Project Name</w:t>
            </w:r>
          </w:p>
        </w:tc>
        <w:tc>
          <w:tcPr>
            <w:tcW w:w="4968" w:type="dxa"/>
            <w:tcBorders>
              <w:top w:val="single" w:sz="4" w:space="0" w:color="000000"/>
              <w:left w:val="single" w:sz="4" w:space="0" w:color="000000"/>
              <w:bottom w:val="single" w:sz="4" w:space="0" w:color="000000"/>
              <w:right w:val="single" w:sz="4" w:space="0" w:color="000000"/>
            </w:tcBorders>
            <w:vAlign w:val="center"/>
          </w:tcPr>
          <w:p w14:paraId="67595BED" w14:textId="77777777" w:rsidR="001A4A58" w:rsidRDefault="00000000">
            <w:pPr>
              <w:spacing w:after="0"/>
              <w:ind w:left="0" w:firstLine="0"/>
            </w:pPr>
            <w:r>
              <w:t>Incident Lifecycle Management System in ServiceNow</w:t>
            </w:r>
          </w:p>
        </w:tc>
      </w:tr>
      <w:tr w:rsidR="001A4A58" w14:paraId="7141AA1C" w14:textId="77777777">
        <w:trPr>
          <w:trHeight w:val="486"/>
        </w:trPr>
        <w:tc>
          <w:tcPr>
            <w:tcW w:w="4968" w:type="dxa"/>
            <w:tcBorders>
              <w:top w:val="single" w:sz="4" w:space="0" w:color="000000"/>
              <w:left w:val="single" w:sz="4" w:space="0" w:color="000000"/>
              <w:bottom w:val="single" w:sz="4" w:space="0" w:color="000000"/>
              <w:right w:val="single" w:sz="4" w:space="0" w:color="000000"/>
            </w:tcBorders>
            <w:vAlign w:val="center"/>
          </w:tcPr>
          <w:p w14:paraId="2E71A7A2" w14:textId="77777777" w:rsidR="001A4A58" w:rsidRDefault="00000000">
            <w:pPr>
              <w:spacing w:after="0"/>
              <w:ind w:left="0" w:firstLine="0"/>
            </w:pPr>
            <w:r>
              <w:rPr>
                <w:b/>
              </w:rPr>
              <w:t>Maximum Marks</w:t>
            </w:r>
          </w:p>
        </w:tc>
        <w:tc>
          <w:tcPr>
            <w:tcW w:w="4968" w:type="dxa"/>
            <w:tcBorders>
              <w:top w:val="single" w:sz="4" w:space="0" w:color="000000"/>
              <w:left w:val="single" w:sz="4" w:space="0" w:color="000000"/>
              <w:bottom w:val="single" w:sz="4" w:space="0" w:color="000000"/>
              <w:right w:val="single" w:sz="4" w:space="0" w:color="000000"/>
            </w:tcBorders>
            <w:vAlign w:val="center"/>
          </w:tcPr>
          <w:p w14:paraId="5938C09A" w14:textId="77777777" w:rsidR="001A4A58" w:rsidRDefault="00000000">
            <w:pPr>
              <w:spacing w:after="0"/>
              <w:ind w:left="0" w:firstLine="0"/>
            </w:pPr>
            <w:r>
              <w:t>4 Marks</w:t>
            </w:r>
          </w:p>
        </w:tc>
      </w:tr>
    </w:tbl>
    <w:p w14:paraId="7F27F006" w14:textId="77777777" w:rsidR="001A4A58" w:rsidRDefault="00000000">
      <w:pPr>
        <w:pStyle w:val="Heading1"/>
        <w:ind w:left="318" w:hanging="333"/>
      </w:pPr>
      <w:r>
        <w:t>Introduction</w:t>
      </w:r>
    </w:p>
    <w:p w14:paraId="3A302020" w14:textId="77777777" w:rsidR="001A4A58" w:rsidRDefault="00000000">
      <w:pPr>
        <w:spacing w:after="160"/>
        <w:ind w:left="-5"/>
      </w:pPr>
      <w:r>
        <w:t>Solution architecture bridges the gap between a business problem and its technology solution. For the Incident Lifecycle Management System, it defines how users, ServiceNow interfaces, workflow automation, business logic, data storage, integrations, reporting and infrastructure work together to manage IT incidents from creation to closure.</w:t>
      </w:r>
    </w:p>
    <w:p w14:paraId="634D2E89" w14:textId="77777777" w:rsidR="001A4A58" w:rsidRDefault="00000000">
      <w:pPr>
        <w:spacing w:after="257"/>
        <w:ind w:left="-5"/>
      </w:pPr>
      <w:r>
        <w:t>In many organizations, incidents reported through emails, calls or spreadsheets are lost, delayed or handled without priority. The proposed architecture uses ServiceNow as one central platform so that every incident follows the same controlled lifecycle: New, In Progress, On Hold, Resolved and Closed.</w:t>
      </w:r>
    </w:p>
    <w:p w14:paraId="22FF1F7A" w14:textId="77777777" w:rsidR="001A4A58" w:rsidRDefault="00000000">
      <w:pPr>
        <w:pStyle w:val="Heading1"/>
        <w:ind w:left="318" w:hanging="333"/>
      </w:pPr>
      <w:r>
        <w:t>Objectives of the Solution Architecture</w:t>
      </w:r>
    </w:p>
    <w:p w14:paraId="30675FC4" w14:textId="77777777" w:rsidR="001A4A58" w:rsidRDefault="00000000">
      <w:pPr>
        <w:ind w:left="-5"/>
      </w:pPr>
      <w:r>
        <w:t>Provide a clear technical structure for the proposed solution.</w:t>
      </w:r>
    </w:p>
    <w:p w14:paraId="08D1B0E2" w14:textId="77777777" w:rsidR="001A4A58" w:rsidRDefault="00000000">
      <w:pPr>
        <w:ind w:left="-5"/>
      </w:pPr>
      <w:r>
        <w:t>Map business requirements to ServiceNow platform components.</w:t>
      </w:r>
    </w:p>
    <w:p w14:paraId="6F7B76EF" w14:textId="77777777" w:rsidR="001A4A58" w:rsidRDefault="00000000">
      <w:pPr>
        <w:ind w:left="-5"/>
      </w:pPr>
      <w:r>
        <w:t>Define incident creation, assignment, resolution and closure data flows.</w:t>
      </w:r>
    </w:p>
    <w:p w14:paraId="6E8EAECD" w14:textId="77777777" w:rsidR="001A4A58" w:rsidRDefault="00000000">
      <w:pPr>
        <w:ind w:left="-5"/>
      </w:pPr>
      <w:r>
        <w:t>Support security, auditability, scalability and maintainability.</w:t>
      </w:r>
    </w:p>
    <w:p w14:paraId="72D4D19A" w14:textId="77777777" w:rsidR="001A4A58" w:rsidRDefault="00000000">
      <w:pPr>
        <w:spacing w:after="257"/>
        <w:ind w:left="-5"/>
      </w:pPr>
      <w:r>
        <w:t>Provide extension points for future enterprise integrations.</w:t>
      </w:r>
    </w:p>
    <w:p w14:paraId="6979E6C5" w14:textId="77777777" w:rsidR="001A4A58" w:rsidRDefault="00000000">
      <w:pPr>
        <w:pStyle w:val="Heading1"/>
        <w:ind w:left="318" w:hanging="333"/>
      </w:pPr>
      <w:r>
        <w:t>Scope of the Solution</w:t>
      </w:r>
    </w:p>
    <w:p w14:paraId="04970E14" w14:textId="77777777" w:rsidR="001A4A58" w:rsidRDefault="00000000">
      <w:pPr>
        <w:ind w:left="-5"/>
      </w:pPr>
      <w:r>
        <w:t>Incident logging through the Service Portal, Now Mobile app and email.</w:t>
      </w:r>
    </w:p>
    <w:p w14:paraId="3203C811" w14:textId="77777777" w:rsidR="001A4A58" w:rsidRDefault="00000000">
      <w:pPr>
        <w:ind w:left="-5"/>
      </w:pPr>
      <w:r>
        <w:t>Automatic priority setting, categorization and assignment to the right support group.</w:t>
      </w:r>
    </w:p>
    <w:p w14:paraId="561F13DC" w14:textId="77777777" w:rsidR="001A4A58" w:rsidRDefault="00000000">
      <w:pPr>
        <w:ind w:left="-5"/>
      </w:pPr>
      <w:r>
        <w:t>SLA tracking with escalation and stage-wise email notifications.</w:t>
      </w:r>
    </w:p>
    <w:p w14:paraId="0149B70B" w14:textId="77777777" w:rsidR="001A4A58" w:rsidRDefault="00000000">
      <w:pPr>
        <w:ind w:left="-5"/>
      </w:pPr>
      <w:r>
        <w:t>Resolution, closure and auto-closure of resolved incidents.</w:t>
      </w:r>
    </w:p>
    <w:p w14:paraId="03FFC57D" w14:textId="77777777" w:rsidR="001A4A58" w:rsidRDefault="00000000">
      <w:pPr>
        <w:ind w:left="-5"/>
      </w:pPr>
      <w:r>
        <w:t>Reports and dashboards for status, SLA and workload, with a full audit history.</w:t>
      </w:r>
    </w:p>
    <w:p w14:paraId="06481180" w14:textId="77777777" w:rsidR="001A4A58" w:rsidRDefault="00000000">
      <w:pPr>
        <w:pStyle w:val="Heading1"/>
        <w:ind w:left="318" w:hanging="333"/>
      </w:pPr>
      <w:r>
        <w:t>High-Level Solution Architecture</w:t>
      </w:r>
    </w:p>
    <w:p w14:paraId="15D4063F" w14:textId="77777777" w:rsidR="001A4A58" w:rsidRDefault="00000000">
      <w:pPr>
        <w:spacing w:after="0"/>
        <w:ind w:left="-5"/>
      </w:pPr>
      <w:r>
        <w:t>The following diagram presents the proposed architecture of the Incident Lifecycle Management System.</w:t>
      </w:r>
    </w:p>
    <w:p w14:paraId="02004F92" w14:textId="77777777" w:rsidR="001A4A58" w:rsidRDefault="00000000">
      <w:pPr>
        <w:spacing w:after="250"/>
        <w:ind w:left="179" w:right="-211" w:firstLine="0"/>
      </w:pPr>
      <w:r>
        <w:rPr>
          <w:noProof/>
        </w:rPr>
        <w:lastRenderedPageBreak/>
        <w:drawing>
          <wp:inline distT="0" distB="0" distL="0" distR="0" wp14:anchorId="76265D12" wp14:editId="38CD7C7E">
            <wp:extent cx="6309360" cy="4191635"/>
            <wp:effectExtent l="0" t="0" r="0" b="0"/>
            <wp:docPr id="76" name="Picture 76"/>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7"/>
                    <a:stretch>
                      <a:fillRect/>
                    </a:stretch>
                  </pic:blipFill>
                  <pic:spPr>
                    <a:xfrm>
                      <a:off x="0" y="0"/>
                      <a:ext cx="6309360" cy="4191635"/>
                    </a:xfrm>
                    <a:prstGeom prst="rect">
                      <a:avLst/>
                    </a:prstGeom>
                  </pic:spPr>
                </pic:pic>
              </a:graphicData>
            </a:graphic>
          </wp:inline>
        </w:drawing>
      </w:r>
    </w:p>
    <w:p w14:paraId="60F94A49" w14:textId="77777777" w:rsidR="001A4A58" w:rsidRDefault="00000000">
      <w:pPr>
        <w:spacing w:after="258"/>
        <w:ind w:left="27" w:firstLine="0"/>
        <w:jc w:val="center"/>
      </w:pPr>
      <w:r>
        <w:rPr>
          <w:b/>
        </w:rPr>
        <w:t>Figure 1: High-Level Solution Architecture</w:t>
      </w:r>
    </w:p>
    <w:p w14:paraId="56A3BFD7" w14:textId="77777777" w:rsidR="001A4A58" w:rsidRDefault="00000000">
      <w:pPr>
        <w:pStyle w:val="Heading1"/>
        <w:spacing w:after="122"/>
        <w:ind w:left="318" w:hanging="333"/>
      </w:pPr>
      <w:r>
        <w:t>Architecture Description</w:t>
      </w:r>
    </w:p>
    <w:p w14:paraId="63038C78" w14:textId="77777777" w:rsidR="001A4A58" w:rsidRDefault="00000000">
      <w:pPr>
        <w:pStyle w:val="Heading2"/>
        <w:ind w:left="418" w:hanging="433"/>
      </w:pPr>
      <w:r>
        <w:t>User Layer</w:t>
      </w:r>
    </w:p>
    <w:p w14:paraId="1A30D0FB" w14:textId="77777777" w:rsidR="001A4A58" w:rsidRDefault="00000000">
      <w:pPr>
        <w:spacing w:after="179"/>
        <w:ind w:left="-5"/>
      </w:pPr>
      <w:r>
        <w:t>Includes End Users (callers who report incidents), Support Agents (fulfillers), the Service Desk Manager and IT Administrators. Each role accesses only the functions required for its responsibilities.</w:t>
      </w:r>
    </w:p>
    <w:p w14:paraId="5DCDEA8C" w14:textId="77777777" w:rsidR="001A4A58" w:rsidRDefault="00000000">
      <w:pPr>
        <w:pStyle w:val="Heading2"/>
        <w:ind w:left="418" w:hanging="433"/>
      </w:pPr>
      <w:r>
        <w:t>User Interface Layer</w:t>
      </w:r>
    </w:p>
    <w:p w14:paraId="3FABF3FF" w14:textId="77777777" w:rsidR="001A4A58" w:rsidRDefault="00000000">
      <w:pPr>
        <w:spacing w:after="179"/>
        <w:ind w:left="-5"/>
      </w:pPr>
      <w:r>
        <w:t xml:space="preserve">The ServiceNow Service Portal and the Now Mobile app provide the user interface, and incidents can also be raised by email. The incident form provides standardized, structured fields with dynamic </w:t>
      </w:r>
      <w:proofErr w:type="spellStart"/>
      <w:r>
        <w:t>behavior</w:t>
      </w:r>
      <w:proofErr w:type="spellEnd"/>
      <w:r>
        <w:t>.</w:t>
      </w:r>
    </w:p>
    <w:p w14:paraId="42BC5022" w14:textId="77777777" w:rsidR="001A4A58" w:rsidRDefault="00000000">
      <w:pPr>
        <w:pStyle w:val="Heading2"/>
        <w:ind w:left="418" w:hanging="433"/>
      </w:pPr>
      <w:r>
        <w:t>Application Layer – Automation &amp; Workflow</w:t>
      </w:r>
    </w:p>
    <w:p w14:paraId="4D5B01AA" w14:textId="77777777" w:rsidR="001A4A58" w:rsidRDefault="00000000">
      <w:pPr>
        <w:spacing w:after="179"/>
        <w:ind w:left="-5"/>
      </w:pPr>
      <w:r>
        <w:t xml:space="preserve">Client Scripts and UI Policies support form </w:t>
      </w:r>
      <w:proofErr w:type="spellStart"/>
      <w:r>
        <w:t>behavior</w:t>
      </w:r>
      <w:proofErr w:type="spellEnd"/>
      <w:r>
        <w:t xml:space="preserve"> and validation. Business Rules set defaults and priority at incident creation. Assignment Rules route incidents to the right group, and SLA Definitions track response and resolution time. Flow Designer and Workflow automate resolution, closure and notifications, and Scheduled Jobs handle time-based actions such as auto-closing resolved incidents.</w:t>
      </w:r>
    </w:p>
    <w:p w14:paraId="375BC461" w14:textId="77777777" w:rsidR="001A4A58" w:rsidRDefault="00000000">
      <w:pPr>
        <w:pStyle w:val="Heading2"/>
        <w:ind w:left="418" w:hanging="433"/>
      </w:pPr>
      <w:r>
        <w:t>Data Layer</w:t>
      </w:r>
    </w:p>
    <w:p w14:paraId="56898D1C" w14:textId="77777777" w:rsidR="001A4A58" w:rsidRDefault="00000000">
      <w:pPr>
        <w:spacing w:after="179"/>
        <w:ind w:left="-5"/>
      </w:pPr>
      <w:r>
        <w:t>The ServiceNow platform database stores incident records (the incident table, which extends the task table), user and group records, SLA records, attachments and audit/history information.</w:t>
      </w:r>
    </w:p>
    <w:p w14:paraId="75F75D23" w14:textId="77777777" w:rsidR="001A4A58" w:rsidRDefault="00000000">
      <w:pPr>
        <w:pStyle w:val="Heading2"/>
        <w:ind w:left="418" w:hanging="433"/>
      </w:pPr>
      <w:r>
        <w:lastRenderedPageBreak/>
        <w:t>External Systems</w:t>
      </w:r>
    </w:p>
    <w:p w14:paraId="2DBCEC1F" w14:textId="77777777" w:rsidR="001A4A58" w:rsidRDefault="00000000">
      <w:pPr>
        <w:spacing w:after="179"/>
        <w:ind w:left="-5"/>
      </w:pPr>
      <w:r>
        <w:t>Optional integrations include the email server (SMTP/IMAP) for inbound incidents and notifications, REST API clients for third-party systems, and Predictive Intelligence / Virtual Agent where used.</w:t>
      </w:r>
    </w:p>
    <w:p w14:paraId="43BB2406" w14:textId="77777777" w:rsidR="001A4A58" w:rsidRDefault="00000000">
      <w:pPr>
        <w:pStyle w:val="Heading2"/>
        <w:ind w:left="418" w:hanging="433"/>
      </w:pPr>
      <w:r>
        <w:t>Monitoring &amp; Reporting</w:t>
      </w:r>
    </w:p>
    <w:p w14:paraId="7D61CDF2" w14:textId="77777777" w:rsidR="001A4A58" w:rsidRDefault="00000000">
      <w:pPr>
        <w:spacing w:after="179"/>
        <w:ind w:left="-5"/>
      </w:pPr>
      <w:r>
        <w:t>Reports, dashboards and Performance Analytics provide visibility into incident status, SLA performance, agent workload and operational trends.</w:t>
      </w:r>
    </w:p>
    <w:p w14:paraId="2C26BFF7" w14:textId="77777777" w:rsidR="001A4A58" w:rsidRDefault="00000000">
      <w:pPr>
        <w:pStyle w:val="Heading2"/>
        <w:ind w:left="418" w:hanging="433"/>
      </w:pPr>
      <w:r>
        <w:t>Infrastructure &amp; Security</w:t>
      </w:r>
    </w:p>
    <w:p w14:paraId="659F34BB" w14:textId="77777777" w:rsidR="001A4A58" w:rsidRDefault="00000000">
      <w:pPr>
        <w:spacing w:after="257"/>
        <w:ind w:left="-5"/>
      </w:pPr>
      <w:r>
        <w:t>The solution is hosted on the ServiceNow cloud platform as a hosted instance (SaaS), so no local server is required. Roles, ACLs, authentication (SSO and MFA) and audit logs provide controlled access and auditability.</w:t>
      </w:r>
    </w:p>
    <w:p w14:paraId="27B6C725" w14:textId="77777777" w:rsidR="001A4A58" w:rsidRDefault="00000000">
      <w:pPr>
        <w:pStyle w:val="Heading1"/>
        <w:spacing w:after="0"/>
        <w:ind w:left="318" w:hanging="333"/>
      </w:pPr>
      <w:r>
        <w:t>Architecture Components and Functions</w:t>
      </w:r>
    </w:p>
    <w:tbl>
      <w:tblPr>
        <w:tblStyle w:val="TableGrid"/>
        <w:tblW w:w="9936" w:type="dxa"/>
        <w:tblInd w:w="-110" w:type="dxa"/>
        <w:tblCellMar>
          <w:top w:w="12" w:type="dxa"/>
          <w:left w:w="110" w:type="dxa"/>
          <w:bottom w:w="0" w:type="dxa"/>
          <w:right w:w="115" w:type="dxa"/>
        </w:tblCellMar>
        <w:tblLook w:val="04A0" w:firstRow="1" w:lastRow="0" w:firstColumn="1" w:lastColumn="0" w:noHBand="0" w:noVBand="1"/>
      </w:tblPr>
      <w:tblGrid>
        <w:gridCol w:w="4968"/>
        <w:gridCol w:w="4968"/>
      </w:tblGrid>
      <w:tr w:rsidR="001A4A58" w14:paraId="1E4DD798" w14:textId="77777777">
        <w:trPr>
          <w:trHeight w:val="286"/>
        </w:trPr>
        <w:tc>
          <w:tcPr>
            <w:tcW w:w="4968" w:type="dxa"/>
            <w:tcBorders>
              <w:top w:val="single" w:sz="4" w:space="0" w:color="000000"/>
              <w:left w:val="single" w:sz="4" w:space="0" w:color="000000"/>
              <w:bottom w:val="single" w:sz="4" w:space="0" w:color="000000"/>
              <w:right w:val="single" w:sz="4" w:space="0" w:color="000000"/>
            </w:tcBorders>
          </w:tcPr>
          <w:p w14:paraId="2A02AEC9" w14:textId="77777777" w:rsidR="001A4A58" w:rsidRDefault="00000000">
            <w:pPr>
              <w:spacing w:after="0"/>
              <w:ind w:left="0" w:firstLine="0"/>
            </w:pPr>
            <w:r>
              <w:rPr>
                <w:b/>
              </w:rPr>
              <w:t>Layer / Component</w:t>
            </w:r>
          </w:p>
        </w:tc>
        <w:tc>
          <w:tcPr>
            <w:tcW w:w="4968" w:type="dxa"/>
            <w:tcBorders>
              <w:top w:val="single" w:sz="4" w:space="0" w:color="000000"/>
              <w:left w:val="single" w:sz="4" w:space="0" w:color="000000"/>
              <w:bottom w:val="single" w:sz="4" w:space="0" w:color="000000"/>
              <w:right w:val="single" w:sz="4" w:space="0" w:color="000000"/>
            </w:tcBorders>
          </w:tcPr>
          <w:p w14:paraId="43F80E6A" w14:textId="77777777" w:rsidR="001A4A58" w:rsidRDefault="00000000">
            <w:pPr>
              <w:spacing w:after="0"/>
              <w:ind w:left="0" w:firstLine="0"/>
            </w:pPr>
            <w:r>
              <w:rPr>
                <w:b/>
              </w:rPr>
              <w:t>Key Functions</w:t>
            </w:r>
          </w:p>
        </w:tc>
      </w:tr>
      <w:tr w:rsidR="001A4A58" w14:paraId="2C40CD89" w14:textId="77777777">
        <w:trPr>
          <w:trHeight w:val="660"/>
        </w:trPr>
        <w:tc>
          <w:tcPr>
            <w:tcW w:w="4968" w:type="dxa"/>
            <w:tcBorders>
              <w:top w:val="single" w:sz="4" w:space="0" w:color="000000"/>
              <w:left w:val="single" w:sz="4" w:space="0" w:color="000000"/>
              <w:bottom w:val="single" w:sz="4" w:space="0" w:color="000000"/>
              <w:right w:val="single" w:sz="4" w:space="0" w:color="000000"/>
            </w:tcBorders>
          </w:tcPr>
          <w:p w14:paraId="2B54A8F4" w14:textId="77777777" w:rsidR="001A4A58" w:rsidRDefault="00000000">
            <w:pPr>
              <w:spacing w:after="0"/>
              <w:ind w:left="0" w:firstLine="0"/>
            </w:pPr>
            <w:r>
              <w:rPr>
                <w:sz w:val="23"/>
              </w:rPr>
              <w:t>Users</w:t>
            </w:r>
          </w:p>
        </w:tc>
        <w:tc>
          <w:tcPr>
            <w:tcW w:w="4968" w:type="dxa"/>
            <w:tcBorders>
              <w:top w:val="single" w:sz="4" w:space="0" w:color="000000"/>
              <w:left w:val="single" w:sz="4" w:space="0" w:color="000000"/>
              <w:bottom w:val="single" w:sz="4" w:space="0" w:color="000000"/>
              <w:right w:val="single" w:sz="4" w:space="0" w:color="000000"/>
            </w:tcBorders>
          </w:tcPr>
          <w:p w14:paraId="69E25E19" w14:textId="77777777" w:rsidR="001A4A58" w:rsidRDefault="00000000">
            <w:pPr>
              <w:spacing w:after="0"/>
              <w:ind w:left="0" w:firstLine="0"/>
            </w:pPr>
            <w:r>
              <w:rPr>
                <w:sz w:val="23"/>
              </w:rPr>
              <w:t>Report incidents, resolve incidents, monitor performance and manage configurations.</w:t>
            </w:r>
          </w:p>
        </w:tc>
      </w:tr>
      <w:tr w:rsidR="001A4A58" w14:paraId="383E6DC0" w14:textId="77777777">
        <w:trPr>
          <w:trHeight w:val="660"/>
        </w:trPr>
        <w:tc>
          <w:tcPr>
            <w:tcW w:w="4968" w:type="dxa"/>
            <w:tcBorders>
              <w:top w:val="single" w:sz="4" w:space="0" w:color="000000"/>
              <w:left w:val="single" w:sz="4" w:space="0" w:color="000000"/>
              <w:bottom w:val="single" w:sz="4" w:space="0" w:color="000000"/>
              <w:right w:val="single" w:sz="4" w:space="0" w:color="000000"/>
            </w:tcBorders>
          </w:tcPr>
          <w:p w14:paraId="4D19BC30" w14:textId="77777777" w:rsidR="001A4A58" w:rsidRDefault="00000000">
            <w:pPr>
              <w:spacing w:after="0"/>
              <w:ind w:left="0" w:firstLine="0"/>
            </w:pPr>
            <w:r>
              <w:rPr>
                <w:sz w:val="23"/>
              </w:rPr>
              <w:t>Service Portal / Now Mobile</w:t>
            </w:r>
          </w:p>
        </w:tc>
        <w:tc>
          <w:tcPr>
            <w:tcW w:w="4968" w:type="dxa"/>
            <w:tcBorders>
              <w:top w:val="single" w:sz="4" w:space="0" w:color="000000"/>
              <w:left w:val="single" w:sz="4" w:space="0" w:color="000000"/>
              <w:bottom w:val="single" w:sz="4" w:space="0" w:color="000000"/>
              <w:right w:val="single" w:sz="4" w:space="0" w:color="000000"/>
            </w:tcBorders>
          </w:tcPr>
          <w:p w14:paraId="6F5558D9" w14:textId="77777777" w:rsidR="001A4A58" w:rsidRDefault="00000000">
            <w:pPr>
              <w:spacing w:after="0"/>
              <w:ind w:left="0" w:firstLine="0"/>
            </w:pPr>
            <w:r>
              <w:rPr>
                <w:sz w:val="23"/>
              </w:rPr>
              <w:t>Provide access to incident forms and status tracking on web and mobile.</w:t>
            </w:r>
          </w:p>
        </w:tc>
      </w:tr>
      <w:tr w:rsidR="001A4A58" w14:paraId="08F6354E" w14:textId="77777777">
        <w:trPr>
          <w:trHeight w:val="660"/>
        </w:trPr>
        <w:tc>
          <w:tcPr>
            <w:tcW w:w="4968" w:type="dxa"/>
            <w:tcBorders>
              <w:top w:val="single" w:sz="4" w:space="0" w:color="000000"/>
              <w:left w:val="single" w:sz="4" w:space="0" w:color="000000"/>
              <w:bottom w:val="single" w:sz="4" w:space="0" w:color="000000"/>
              <w:right w:val="single" w:sz="4" w:space="0" w:color="000000"/>
            </w:tcBorders>
          </w:tcPr>
          <w:p w14:paraId="4E052E66" w14:textId="77777777" w:rsidR="001A4A58" w:rsidRDefault="00000000">
            <w:pPr>
              <w:spacing w:after="0"/>
              <w:ind w:left="0" w:firstLine="0"/>
            </w:pPr>
            <w:r>
              <w:rPr>
                <w:sz w:val="23"/>
              </w:rPr>
              <w:t>Incident Form</w:t>
            </w:r>
          </w:p>
        </w:tc>
        <w:tc>
          <w:tcPr>
            <w:tcW w:w="4968" w:type="dxa"/>
            <w:tcBorders>
              <w:top w:val="single" w:sz="4" w:space="0" w:color="000000"/>
              <w:left w:val="single" w:sz="4" w:space="0" w:color="000000"/>
              <w:bottom w:val="single" w:sz="4" w:space="0" w:color="000000"/>
              <w:right w:val="single" w:sz="4" w:space="0" w:color="000000"/>
            </w:tcBorders>
          </w:tcPr>
          <w:p w14:paraId="37D1DC1E" w14:textId="77777777" w:rsidR="001A4A58" w:rsidRDefault="00000000">
            <w:pPr>
              <w:spacing w:after="0"/>
              <w:ind w:left="0" w:firstLine="0"/>
            </w:pPr>
            <w:r>
              <w:rPr>
                <w:sz w:val="23"/>
              </w:rPr>
              <w:t>Provides standardized incident fields, categories and attachments.</w:t>
            </w:r>
          </w:p>
        </w:tc>
      </w:tr>
      <w:tr w:rsidR="001A4A58" w14:paraId="450EB186" w14:textId="77777777">
        <w:trPr>
          <w:trHeight w:val="660"/>
        </w:trPr>
        <w:tc>
          <w:tcPr>
            <w:tcW w:w="4968" w:type="dxa"/>
            <w:tcBorders>
              <w:top w:val="single" w:sz="4" w:space="0" w:color="000000"/>
              <w:left w:val="single" w:sz="4" w:space="0" w:color="000000"/>
              <w:bottom w:val="single" w:sz="4" w:space="0" w:color="000000"/>
              <w:right w:val="single" w:sz="4" w:space="0" w:color="000000"/>
            </w:tcBorders>
          </w:tcPr>
          <w:p w14:paraId="6867B2F9" w14:textId="77777777" w:rsidR="001A4A58" w:rsidRDefault="00000000">
            <w:pPr>
              <w:spacing w:after="0"/>
              <w:ind w:left="0" w:firstLine="0"/>
            </w:pPr>
            <w:r>
              <w:rPr>
                <w:sz w:val="23"/>
              </w:rPr>
              <w:t>Client Scripts &amp; UI Policies</w:t>
            </w:r>
          </w:p>
        </w:tc>
        <w:tc>
          <w:tcPr>
            <w:tcW w:w="4968" w:type="dxa"/>
            <w:tcBorders>
              <w:top w:val="single" w:sz="4" w:space="0" w:color="000000"/>
              <w:left w:val="single" w:sz="4" w:space="0" w:color="000000"/>
              <w:bottom w:val="single" w:sz="4" w:space="0" w:color="000000"/>
              <w:right w:val="single" w:sz="4" w:space="0" w:color="000000"/>
            </w:tcBorders>
          </w:tcPr>
          <w:p w14:paraId="6D49D8CA" w14:textId="77777777" w:rsidR="001A4A58" w:rsidRDefault="00000000">
            <w:pPr>
              <w:spacing w:after="0"/>
              <w:ind w:left="0" w:firstLine="0"/>
            </w:pPr>
            <w:r>
              <w:rPr>
                <w:sz w:val="23"/>
              </w:rPr>
              <w:t xml:space="preserve">Control form </w:t>
            </w:r>
            <w:proofErr w:type="spellStart"/>
            <w:r>
              <w:rPr>
                <w:sz w:val="23"/>
              </w:rPr>
              <w:t>behavior</w:t>
            </w:r>
            <w:proofErr w:type="spellEnd"/>
            <w:r>
              <w:rPr>
                <w:sz w:val="23"/>
              </w:rPr>
              <w:t>, mandatory fields and dynamic fields.</w:t>
            </w:r>
          </w:p>
        </w:tc>
      </w:tr>
      <w:tr w:rsidR="001A4A58" w14:paraId="47C482AA" w14:textId="77777777">
        <w:trPr>
          <w:trHeight w:val="660"/>
        </w:trPr>
        <w:tc>
          <w:tcPr>
            <w:tcW w:w="4968" w:type="dxa"/>
            <w:tcBorders>
              <w:top w:val="single" w:sz="4" w:space="0" w:color="000000"/>
              <w:left w:val="single" w:sz="4" w:space="0" w:color="000000"/>
              <w:bottom w:val="single" w:sz="4" w:space="0" w:color="000000"/>
              <w:right w:val="single" w:sz="4" w:space="0" w:color="000000"/>
            </w:tcBorders>
          </w:tcPr>
          <w:p w14:paraId="5FBD2A22" w14:textId="77777777" w:rsidR="001A4A58" w:rsidRDefault="00000000">
            <w:pPr>
              <w:spacing w:after="0"/>
              <w:ind w:left="0" w:firstLine="0"/>
            </w:pPr>
            <w:r>
              <w:rPr>
                <w:sz w:val="23"/>
              </w:rPr>
              <w:t>Business Rules</w:t>
            </w:r>
          </w:p>
        </w:tc>
        <w:tc>
          <w:tcPr>
            <w:tcW w:w="4968" w:type="dxa"/>
            <w:tcBorders>
              <w:top w:val="single" w:sz="4" w:space="0" w:color="000000"/>
              <w:left w:val="single" w:sz="4" w:space="0" w:color="000000"/>
              <w:bottom w:val="single" w:sz="4" w:space="0" w:color="000000"/>
              <w:right w:val="single" w:sz="4" w:space="0" w:color="000000"/>
            </w:tcBorders>
          </w:tcPr>
          <w:p w14:paraId="77064CFD" w14:textId="77777777" w:rsidR="001A4A58" w:rsidRDefault="00000000">
            <w:pPr>
              <w:spacing w:after="0"/>
              <w:ind w:left="0" w:firstLine="0"/>
            </w:pPr>
            <w:r>
              <w:rPr>
                <w:sz w:val="23"/>
              </w:rPr>
              <w:t>Set defaults and priority and apply server-side logic at creation.</w:t>
            </w:r>
          </w:p>
        </w:tc>
      </w:tr>
      <w:tr w:rsidR="001A4A58" w14:paraId="024182BC" w14:textId="77777777">
        <w:trPr>
          <w:trHeight w:val="660"/>
        </w:trPr>
        <w:tc>
          <w:tcPr>
            <w:tcW w:w="4968" w:type="dxa"/>
            <w:tcBorders>
              <w:top w:val="single" w:sz="4" w:space="0" w:color="000000"/>
              <w:left w:val="single" w:sz="4" w:space="0" w:color="000000"/>
              <w:bottom w:val="single" w:sz="4" w:space="0" w:color="000000"/>
              <w:right w:val="single" w:sz="4" w:space="0" w:color="000000"/>
            </w:tcBorders>
          </w:tcPr>
          <w:p w14:paraId="58D59E3B" w14:textId="77777777" w:rsidR="001A4A58" w:rsidRDefault="00000000">
            <w:pPr>
              <w:spacing w:after="0"/>
              <w:ind w:left="0" w:firstLine="0"/>
            </w:pPr>
            <w:r>
              <w:rPr>
                <w:sz w:val="23"/>
              </w:rPr>
              <w:t>Assignment Rules &amp; SLA Definitions</w:t>
            </w:r>
          </w:p>
        </w:tc>
        <w:tc>
          <w:tcPr>
            <w:tcW w:w="4968" w:type="dxa"/>
            <w:tcBorders>
              <w:top w:val="single" w:sz="4" w:space="0" w:color="000000"/>
              <w:left w:val="single" w:sz="4" w:space="0" w:color="000000"/>
              <w:bottom w:val="single" w:sz="4" w:space="0" w:color="000000"/>
              <w:right w:val="single" w:sz="4" w:space="0" w:color="000000"/>
            </w:tcBorders>
          </w:tcPr>
          <w:p w14:paraId="16241B8C" w14:textId="77777777" w:rsidR="001A4A58" w:rsidRDefault="00000000">
            <w:pPr>
              <w:spacing w:after="0"/>
              <w:ind w:left="0" w:firstLine="0"/>
            </w:pPr>
            <w:r>
              <w:rPr>
                <w:sz w:val="23"/>
              </w:rPr>
              <w:t>Route incidents to the right group and track response and resolution time.</w:t>
            </w:r>
          </w:p>
        </w:tc>
      </w:tr>
      <w:tr w:rsidR="001A4A58" w14:paraId="4EB883E2" w14:textId="77777777">
        <w:trPr>
          <w:trHeight w:val="660"/>
        </w:trPr>
        <w:tc>
          <w:tcPr>
            <w:tcW w:w="4968" w:type="dxa"/>
            <w:tcBorders>
              <w:top w:val="single" w:sz="4" w:space="0" w:color="000000"/>
              <w:left w:val="single" w:sz="4" w:space="0" w:color="000000"/>
              <w:bottom w:val="single" w:sz="4" w:space="0" w:color="000000"/>
              <w:right w:val="single" w:sz="4" w:space="0" w:color="000000"/>
            </w:tcBorders>
          </w:tcPr>
          <w:p w14:paraId="2641149B" w14:textId="77777777" w:rsidR="001A4A58" w:rsidRDefault="00000000">
            <w:pPr>
              <w:spacing w:after="0"/>
              <w:ind w:left="0" w:firstLine="0"/>
            </w:pPr>
            <w:r>
              <w:rPr>
                <w:sz w:val="23"/>
              </w:rPr>
              <w:t>Flow Designer &amp; Workflow</w:t>
            </w:r>
          </w:p>
        </w:tc>
        <w:tc>
          <w:tcPr>
            <w:tcW w:w="4968" w:type="dxa"/>
            <w:tcBorders>
              <w:top w:val="single" w:sz="4" w:space="0" w:color="000000"/>
              <w:left w:val="single" w:sz="4" w:space="0" w:color="000000"/>
              <w:bottom w:val="single" w:sz="4" w:space="0" w:color="000000"/>
              <w:right w:val="single" w:sz="4" w:space="0" w:color="000000"/>
            </w:tcBorders>
          </w:tcPr>
          <w:p w14:paraId="29C03B87" w14:textId="77777777" w:rsidR="001A4A58" w:rsidRDefault="00000000">
            <w:pPr>
              <w:spacing w:after="0"/>
              <w:ind w:left="0" w:firstLine="0"/>
            </w:pPr>
            <w:r>
              <w:rPr>
                <w:sz w:val="23"/>
              </w:rPr>
              <w:t>Automate resolution, closure, escalation and notifications.</w:t>
            </w:r>
          </w:p>
        </w:tc>
      </w:tr>
      <w:tr w:rsidR="001A4A58" w14:paraId="52165F03" w14:textId="77777777">
        <w:trPr>
          <w:trHeight w:val="660"/>
        </w:trPr>
        <w:tc>
          <w:tcPr>
            <w:tcW w:w="4968" w:type="dxa"/>
            <w:tcBorders>
              <w:top w:val="single" w:sz="4" w:space="0" w:color="000000"/>
              <w:left w:val="single" w:sz="4" w:space="0" w:color="000000"/>
              <w:bottom w:val="single" w:sz="4" w:space="0" w:color="000000"/>
              <w:right w:val="single" w:sz="4" w:space="0" w:color="000000"/>
            </w:tcBorders>
          </w:tcPr>
          <w:p w14:paraId="17A846C7" w14:textId="77777777" w:rsidR="001A4A58" w:rsidRDefault="00000000">
            <w:pPr>
              <w:spacing w:after="0"/>
              <w:ind w:left="0" w:firstLine="0"/>
            </w:pPr>
            <w:r>
              <w:rPr>
                <w:sz w:val="23"/>
              </w:rPr>
              <w:t>ServiceNow Database</w:t>
            </w:r>
          </w:p>
        </w:tc>
        <w:tc>
          <w:tcPr>
            <w:tcW w:w="4968" w:type="dxa"/>
            <w:tcBorders>
              <w:top w:val="single" w:sz="4" w:space="0" w:color="000000"/>
              <w:left w:val="single" w:sz="4" w:space="0" w:color="000000"/>
              <w:bottom w:val="single" w:sz="4" w:space="0" w:color="000000"/>
              <w:right w:val="single" w:sz="4" w:space="0" w:color="000000"/>
            </w:tcBorders>
          </w:tcPr>
          <w:p w14:paraId="2DAFF352" w14:textId="77777777" w:rsidR="001A4A58" w:rsidRDefault="00000000">
            <w:pPr>
              <w:spacing w:after="0"/>
              <w:ind w:left="0" w:firstLine="0"/>
            </w:pPr>
            <w:r>
              <w:rPr>
                <w:sz w:val="23"/>
              </w:rPr>
              <w:t>Stores incidents, users, groups, SLAs, attachments and audit information.</w:t>
            </w:r>
          </w:p>
        </w:tc>
      </w:tr>
      <w:tr w:rsidR="001A4A58" w14:paraId="63698950" w14:textId="77777777">
        <w:trPr>
          <w:trHeight w:val="660"/>
        </w:trPr>
        <w:tc>
          <w:tcPr>
            <w:tcW w:w="4968" w:type="dxa"/>
            <w:tcBorders>
              <w:top w:val="single" w:sz="4" w:space="0" w:color="000000"/>
              <w:left w:val="single" w:sz="4" w:space="0" w:color="000000"/>
              <w:bottom w:val="single" w:sz="4" w:space="0" w:color="000000"/>
              <w:right w:val="single" w:sz="4" w:space="0" w:color="000000"/>
            </w:tcBorders>
          </w:tcPr>
          <w:p w14:paraId="3F47E835" w14:textId="77777777" w:rsidR="001A4A58" w:rsidRDefault="00000000">
            <w:pPr>
              <w:spacing w:after="0"/>
              <w:ind w:left="0" w:firstLine="0"/>
            </w:pPr>
            <w:r>
              <w:rPr>
                <w:sz w:val="23"/>
              </w:rPr>
              <w:t>External Integrations</w:t>
            </w:r>
          </w:p>
        </w:tc>
        <w:tc>
          <w:tcPr>
            <w:tcW w:w="4968" w:type="dxa"/>
            <w:tcBorders>
              <w:top w:val="single" w:sz="4" w:space="0" w:color="000000"/>
              <w:left w:val="single" w:sz="4" w:space="0" w:color="000000"/>
              <w:bottom w:val="single" w:sz="4" w:space="0" w:color="000000"/>
              <w:right w:val="single" w:sz="4" w:space="0" w:color="000000"/>
            </w:tcBorders>
          </w:tcPr>
          <w:p w14:paraId="44A4053B" w14:textId="77777777" w:rsidR="001A4A58" w:rsidRDefault="00000000">
            <w:pPr>
              <w:spacing w:after="0"/>
              <w:ind w:left="0" w:firstLine="0"/>
            </w:pPr>
            <w:r>
              <w:rPr>
                <w:sz w:val="23"/>
              </w:rPr>
              <w:t>Email server, REST API clients and optional Predictive Intelligence / Virtual Agent.</w:t>
            </w:r>
          </w:p>
        </w:tc>
      </w:tr>
      <w:tr w:rsidR="001A4A58" w14:paraId="12BAEA08" w14:textId="77777777">
        <w:trPr>
          <w:trHeight w:val="286"/>
        </w:trPr>
        <w:tc>
          <w:tcPr>
            <w:tcW w:w="4968" w:type="dxa"/>
            <w:tcBorders>
              <w:top w:val="single" w:sz="4" w:space="0" w:color="000000"/>
              <w:left w:val="single" w:sz="4" w:space="0" w:color="000000"/>
              <w:bottom w:val="single" w:sz="4" w:space="0" w:color="000000"/>
              <w:right w:val="single" w:sz="4" w:space="0" w:color="000000"/>
            </w:tcBorders>
          </w:tcPr>
          <w:p w14:paraId="62C5BCF1" w14:textId="77777777" w:rsidR="001A4A58" w:rsidRDefault="00000000">
            <w:pPr>
              <w:spacing w:after="0"/>
              <w:ind w:left="0" w:firstLine="0"/>
            </w:pPr>
            <w:r>
              <w:rPr>
                <w:b/>
              </w:rPr>
              <w:t>Layer / Component</w:t>
            </w:r>
          </w:p>
        </w:tc>
        <w:tc>
          <w:tcPr>
            <w:tcW w:w="4968" w:type="dxa"/>
            <w:tcBorders>
              <w:top w:val="single" w:sz="4" w:space="0" w:color="000000"/>
              <w:left w:val="single" w:sz="4" w:space="0" w:color="000000"/>
              <w:bottom w:val="single" w:sz="4" w:space="0" w:color="000000"/>
              <w:right w:val="single" w:sz="4" w:space="0" w:color="000000"/>
            </w:tcBorders>
          </w:tcPr>
          <w:p w14:paraId="56EE658E" w14:textId="77777777" w:rsidR="001A4A58" w:rsidRDefault="00000000">
            <w:pPr>
              <w:spacing w:after="0"/>
              <w:ind w:left="0" w:firstLine="0"/>
            </w:pPr>
            <w:r>
              <w:rPr>
                <w:b/>
              </w:rPr>
              <w:t>Key Functions</w:t>
            </w:r>
          </w:p>
        </w:tc>
      </w:tr>
      <w:tr w:rsidR="001A4A58" w14:paraId="42F62F9A" w14:textId="77777777">
        <w:trPr>
          <w:trHeight w:val="660"/>
        </w:trPr>
        <w:tc>
          <w:tcPr>
            <w:tcW w:w="4968" w:type="dxa"/>
            <w:tcBorders>
              <w:top w:val="single" w:sz="4" w:space="0" w:color="000000"/>
              <w:left w:val="single" w:sz="4" w:space="0" w:color="000000"/>
              <w:bottom w:val="single" w:sz="4" w:space="0" w:color="000000"/>
              <w:right w:val="single" w:sz="4" w:space="0" w:color="000000"/>
            </w:tcBorders>
          </w:tcPr>
          <w:p w14:paraId="27B0E889" w14:textId="77777777" w:rsidR="001A4A58" w:rsidRDefault="00000000">
            <w:pPr>
              <w:spacing w:after="0"/>
              <w:ind w:left="0" w:firstLine="0"/>
            </w:pPr>
            <w:r>
              <w:rPr>
                <w:sz w:val="23"/>
              </w:rPr>
              <w:t>Reports &amp; Dashboards</w:t>
            </w:r>
          </w:p>
        </w:tc>
        <w:tc>
          <w:tcPr>
            <w:tcW w:w="4968" w:type="dxa"/>
            <w:tcBorders>
              <w:top w:val="single" w:sz="4" w:space="0" w:color="000000"/>
              <w:left w:val="single" w:sz="4" w:space="0" w:color="000000"/>
              <w:bottom w:val="single" w:sz="4" w:space="0" w:color="000000"/>
              <w:right w:val="single" w:sz="4" w:space="0" w:color="000000"/>
            </w:tcBorders>
          </w:tcPr>
          <w:p w14:paraId="48D58904" w14:textId="77777777" w:rsidR="001A4A58" w:rsidRDefault="00000000">
            <w:pPr>
              <w:spacing w:after="0"/>
              <w:ind w:left="0" w:firstLine="0"/>
            </w:pPr>
            <w:r>
              <w:rPr>
                <w:sz w:val="23"/>
              </w:rPr>
              <w:t>Provide incident, SLA and performance visibility.</w:t>
            </w:r>
          </w:p>
        </w:tc>
      </w:tr>
      <w:tr w:rsidR="001A4A58" w14:paraId="6C33959E" w14:textId="77777777">
        <w:trPr>
          <w:trHeight w:val="660"/>
        </w:trPr>
        <w:tc>
          <w:tcPr>
            <w:tcW w:w="4968" w:type="dxa"/>
            <w:tcBorders>
              <w:top w:val="single" w:sz="4" w:space="0" w:color="000000"/>
              <w:left w:val="single" w:sz="4" w:space="0" w:color="000000"/>
              <w:bottom w:val="single" w:sz="4" w:space="0" w:color="000000"/>
              <w:right w:val="single" w:sz="4" w:space="0" w:color="000000"/>
            </w:tcBorders>
          </w:tcPr>
          <w:p w14:paraId="798CF5EB" w14:textId="77777777" w:rsidR="001A4A58" w:rsidRDefault="00000000">
            <w:pPr>
              <w:spacing w:after="0"/>
              <w:ind w:left="0" w:firstLine="0"/>
            </w:pPr>
            <w:r>
              <w:rPr>
                <w:sz w:val="23"/>
              </w:rPr>
              <w:t>Security</w:t>
            </w:r>
          </w:p>
        </w:tc>
        <w:tc>
          <w:tcPr>
            <w:tcW w:w="4968" w:type="dxa"/>
            <w:tcBorders>
              <w:top w:val="single" w:sz="4" w:space="0" w:color="000000"/>
              <w:left w:val="single" w:sz="4" w:space="0" w:color="000000"/>
              <w:bottom w:val="single" w:sz="4" w:space="0" w:color="000000"/>
              <w:right w:val="single" w:sz="4" w:space="0" w:color="000000"/>
            </w:tcBorders>
          </w:tcPr>
          <w:p w14:paraId="2FC32372" w14:textId="77777777" w:rsidR="001A4A58" w:rsidRDefault="00000000">
            <w:pPr>
              <w:spacing w:after="0"/>
              <w:ind w:left="0" w:firstLine="0"/>
            </w:pPr>
            <w:r>
              <w:rPr>
                <w:sz w:val="23"/>
              </w:rPr>
              <w:t>Roles, ACLs, authentication and authorization protect access.</w:t>
            </w:r>
          </w:p>
        </w:tc>
      </w:tr>
      <w:tr w:rsidR="001A4A58" w14:paraId="0477B5DC" w14:textId="77777777">
        <w:trPr>
          <w:trHeight w:val="660"/>
        </w:trPr>
        <w:tc>
          <w:tcPr>
            <w:tcW w:w="4968" w:type="dxa"/>
            <w:tcBorders>
              <w:top w:val="single" w:sz="4" w:space="0" w:color="000000"/>
              <w:left w:val="single" w:sz="4" w:space="0" w:color="000000"/>
              <w:bottom w:val="single" w:sz="4" w:space="0" w:color="000000"/>
              <w:right w:val="single" w:sz="4" w:space="0" w:color="000000"/>
            </w:tcBorders>
          </w:tcPr>
          <w:p w14:paraId="11FFBA00" w14:textId="77777777" w:rsidR="001A4A58" w:rsidRDefault="00000000">
            <w:pPr>
              <w:spacing w:after="0"/>
              <w:ind w:left="0" w:firstLine="0"/>
            </w:pPr>
            <w:r>
              <w:rPr>
                <w:sz w:val="23"/>
              </w:rPr>
              <w:t>Infrastructure</w:t>
            </w:r>
          </w:p>
        </w:tc>
        <w:tc>
          <w:tcPr>
            <w:tcW w:w="4968" w:type="dxa"/>
            <w:tcBorders>
              <w:top w:val="single" w:sz="4" w:space="0" w:color="000000"/>
              <w:left w:val="single" w:sz="4" w:space="0" w:color="000000"/>
              <w:bottom w:val="single" w:sz="4" w:space="0" w:color="000000"/>
              <w:right w:val="single" w:sz="4" w:space="0" w:color="000000"/>
            </w:tcBorders>
          </w:tcPr>
          <w:p w14:paraId="1A8F3F2F" w14:textId="77777777" w:rsidR="001A4A58" w:rsidRDefault="00000000">
            <w:pPr>
              <w:spacing w:after="0"/>
              <w:ind w:left="0" w:firstLine="0"/>
            </w:pPr>
            <w:r>
              <w:rPr>
                <w:sz w:val="23"/>
              </w:rPr>
              <w:t>ServiceNow cloud platform hosts the proposed solution.</w:t>
            </w:r>
          </w:p>
        </w:tc>
      </w:tr>
    </w:tbl>
    <w:p w14:paraId="7F886CD8" w14:textId="77777777" w:rsidR="001A4A58" w:rsidRDefault="00000000">
      <w:pPr>
        <w:pStyle w:val="Heading1"/>
        <w:ind w:left="318" w:hanging="333"/>
      </w:pPr>
      <w:r>
        <w:lastRenderedPageBreak/>
        <w:t>Incident Processing Flow</w:t>
      </w:r>
    </w:p>
    <w:p w14:paraId="2FC495F4" w14:textId="77777777" w:rsidR="001A4A58" w:rsidRDefault="00000000">
      <w:pPr>
        <w:spacing w:after="257"/>
        <w:ind w:left="-5"/>
      </w:pPr>
      <w:r>
        <w:t>Caller → Service Portal / Mobile / Email → Incident Form → Validation → Priority and Assignment → SLA Tracking → Resolution → Status Update → Notification → Closure → Audit / Reporting.</w:t>
      </w:r>
    </w:p>
    <w:p w14:paraId="23B9724E" w14:textId="77777777" w:rsidR="001A4A58" w:rsidRDefault="00000000">
      <w:pPr>
        <w:pStyle w:val="Heading1"/>
        <w:ind w:left="318" w:hanging="333"/>
      </w:pPr>
      <w:r>
        <w:t>Architectural Benefits</w:t>
      </w:r>
    </w:p>
    <w:p w14:paraId="1C62EAD0" w14:textId="77777777" w:rsidR="001A4A58" w:rsidRDefault="00000000">
      <w:pPr>
        <w:ind w:left="-5"/>
      </w:pPr>
      <w:r>
        <w:t>Standardized incident intake from every channel.</w:t>
      </w:r>
    </w:p>
    <w:p w14:paraId="19D6E430" w14:textId="77777777" w:rsidR="001A4A58" w:rsidRDefault="00000000">
      <w:pPr>
        <w:ind w:left="-5"/>
      </w:pPr>
      <w:r>
        <w:t>Reduced manual coordination through workflow automation.</w:t>
      </w:r>
    </w:p>
    <w:p w14:paraId="63FCC8DF" w14:textId="77777777" w:rsidR="001A4A58" w:rsidRDefault="00000000">
      <w:pPr>
        <w:ind w:left="-5"/>
      </w:pPr>
      <w:r>
        <w:t>SLA tracking with automatic escalation.</w:t>
      </w:r>
    </w:p>
    <w:p w14:paraId="73B2FF21" w14:textId="77777777" w:rsidR="001A4A58" w:rsidRDefault="00000000">
      <w:pPr>
        <w:ind w:left="-5"/>
      </w:pPr>
      <w:r>
        <w:t>Role-based access and full auditability.</w:t>
      </w:r>
    </w:p>
    <w:p w14:paraId="34F29950" w14:textId="77777777" w:rsidR="001A4A58" w:rsidRDefault="00000000">
      <w:pPr>
        <w:ind w:left="-5"/>
      </w:pPr>
      <w:r>
        <w:t>Improved incident visibility and reporting.</w:t>
      </w:r>
    </w:p>
    <w:p w14:paraId="59F06382" w14:textId="77777777" w:rsidR="001A4A58" w:rsidRDefault="00000000">
      <w:pPr>
        <w:ind w:left="-5"/>
      </w:pPr>
      <w:r>
        <w:t>Scalable addition of categories, workflows and integrations.</w:t>
      </w:r>
    </w:p>
    <w:sectPr w:rsidR="001A4A58">
      <w:footerReference w:type="even" r:id="rId8"/>
      <w:footerReference w:type="default" r:id="rId9"/>
      <w:footerReference w:type="first" r:id="rId10"/>
      <w:pgSz w:w="12240" w:h="15840"/>
      <w:pgMar w:top="1013" w:right="1182" w:bottom="1040" w:left="115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0C878" w14:textId="77777777" w:rsidR="00AF6E9C" w:rsidRDefault="00AF6E9C">
      <w:pPr>
        <w:spacing w:after="0" w:line="240" w:lineRule="auto"/>
      </w:pPr>
      <w:r>
        <w:separator/>
      </w:r>
    </w:p>
  </w:endnote>
  <w:endnote w:type="continuationSeparator" w:id="0">
    <w:p w14:paraId="3F7CDE08" w14:textId="77777777" w:rsidR="00AF6E9C" w:rsidRDefault="00AF6E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8AF5D" w14:textId="77777777" w:rsidR="001A4A58" w:rsidRDefault="00000000">
    <w:pPr>
      <w:spacing w:after="0"/>
      <w:ind w:left="29" w:firstLine="0"/>
      <w:jc w:val="center"/>
    </w:pPr>
    <w:r>
      <w:rPr>
        <w:sz w:val="18"/>
      </w:rPr>
      <w:t>Incident Lifecycle Management System | Solution Architecture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16CBF" w14:textId="4EAE524A" w:rsidR="001A4A58" w:rsidRDefault="001A4A58">
    <w:pPr>
      <w:spacing w:after="0"/>
      <w:ind w:left="29"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1660D" w14:textId="77777777" w:rsidR="001A4A58" w:rsidRDefault="00000000">
    <w:pPr>
      <w:spacing w:after="0"/>
      <w:ind w:left="29" w:firstLine="0"/>
      <w:jc w:val="center"/>
    </w:pPr>
    <w:r>
      <w:rPr>
        <w:sz w:val="18"/>
      </w:rPr>
      <w:t>Incident Lifecycle Management System | Solution Architecture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34947" w14:textId="77777777" w:rsidR="00AF6E9C" w:rsidRDefault="00AF6E9C">
      <w:pPr>
        <w:spacing w:after="0" w:line="240" w:lineRule="auto"/>
      </w:pPr>
      <w:r>
        <w:separator/>
      </w:r>
    </w:p>
  </w:footnote>
  <w:footnote w:type="continuationSeparator" w:id="0">
    <w:p w14:paraId="28D285BD" w14:textId="77777777" w:rsidR="00AF6E9C" w:rsidRDefault="00AF6E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AA208D"/>
    <w:multiLevelType w:val="multilevel"/>
    <w:tmpl w:val="EC2E3F30"/>
    <w:lvl w:ilvl="0">
      <w:start w:val="1"/>
      <w:numFmt w:val="decimal"/>
      <w:pStyle w:val="Heading1"/>
      <w:lvlText w:val="%1."/>
      <w:lvlJc w:val="left"/>
      <w:pPr>
        <w:ind w:left="0"/>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abstractNum>
  <w:num w:numId="1" w16cid:durableId="1991863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A58"/>
    <w:rsid w:val="001A4A58"/>
    <w:rsid w:val="00AF6E9C"/>
    <w:rsid w:val="00B32306"/>
    <w:rsid w:val="00DD4D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E4C84"/>
  <w15:docId w15:val="{8EC3662E-F8E1-4414-950C-105E6C91C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9"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numPr>
        <w:numId w:val="1"/>
      </w:numPr>
      <w:spacing w:after="63" w:line="259" w:lineRule="auto"/>
      <w:ind w:left="10" w:hanging="10"/>
      <w:outlineLvl w:val="0"/>
    </w:pPr>
    <w:rPr>
      <w:rFonts w:ascii="Calibri" w:eastAsia="Calibri" w:hAnsi="Calibri" w:cs="Calibri"/>
      <w:b/>
      <w:color w:val="000000"/>
      <w:sz w:val="30"/>
    </w:rPr>
  </w:style>
  <w:style w:type="paragraph" w:styleId="Heading2">
    <w:name w:val="heading 2"/>
    <w:next w:val="Normal"/>
    <w:link w:val="Heading2Char"/>
    <w:uiPriority w:val="9"/>
    <w:unhideWhenUsed/>
    <w:qFormat/>
    <w:pPr>
      <w:keepNext/>
      <w:keepLines/>
      <w:numPr>
        <w:ilvl w:val="1"/>
        <w:numId w:val="1"/>
      </w:numPr>
      <w:spacing w:after="63" w:line="259" w:lineRule="auto"/>
      <w:ind w:left="10" w:hanging="10"/>
      <w:outlineLvl w:val="1"/>
    </w:pPr>
    <w:rPr>
      <w:rFonts w:ascii="Calibri" w:eastAsia="Calibri" w:hAnsi="Calibri" w:cs="Calibri"/>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6"/>
    </w:rPr>
  </w:style>
  <w:style w:type="character" w:customStyle="1" w:styleId="Heading1Char">
    <w:name w:val="Heading 1 Char"/>
    <w:link w:val="Heading1"/>
    <w:rPr>
      <w:rFonts w:ascii="Calibri" w:eastAsia="Calibri" w:hAnsi="Calibri" w:cs="Calibri"/>
      <w:b/>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B323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2306"/>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774</Words>
  <Characters>4417</Characters>
  <Application>Microsoft Office Word</Application>
  <DocSecurity>0</DocSecurity>
  <Lines>36</Lines>
  <Paragraphs>10</Paragraphs>
  <ScaleCrop>false</ScaleCrop>
  <Company/>
  <LinksUpToDate>false</LinksUpToDate>
  <CharactersWithSpaces>5181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varanasi triveni</cp:lastModifiedBy>
  <cp:revision>2</cp:revision>
  <dcterms:created xsi:type="dcterms:W3CDTF">2026-10-21T10:14:00Z</dcterms:created>
  <dcterms:modified xsi:type="dcterms:W3CDTF">2026-10-21T10:14:00Z</dcterms:modified>
</cp:coreProperties>
</file>