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9C819" w14:textId="13750B5D" w:rsidR="00B77DED" w:rsidRPr="00B77DED" w:rsidRDefault="00B77DED" w:rsidP="00B77DED">
      <w:pPr>
        <w:spacing w:after="83"/>
        <w:ind w:left="0" w:right="0" w:firstLine="0"/>
        <w:jc w:val="both"/>
        <w:rPr>
          <w:b/>
          <w:sz w:val="28"/>
          <w:szCs w:val="28"/>
        </w:rPr>
      </w:pPr>
      <w:r>
        <w:rPr>
          <w:b/>
          <w:sz w:val="32"/>
        </w:rPr>
        <w:t xml:space="preserve">                                       </w:t>
      </w:r>
      <w:r>
        <w:rPr>
          <w:b/>
          <w:sz w:val="28"/>
          <w:szCs w:val="28"/>
        </w:rPr>
        <w:t xml:space="preserve"> </w:t>
      </w:r>
      <w:r w:rsidRPr="00B77DED">
        <w:rPr>
          <w:b/>
          <w:sz w:val="28"/>
          <w:szCs w:val="28"/>
        </w:rPr>
        <w:t>Ideation Phase</w:t>
      </w:r>
    </w:p>
    <w:p w14:paraId="754E2D49" w14:textId="00F8013D" w:rsidR="00B77DED" w:rsidRPr="00B77DED" w:rsidRDefault="00B77DED" w:rsidP="00B77DED">
      <w:pPr>
        <w:spacing w:after="83"/>
        <w:ind w:left="0" w:right="0" w:firstLine="0"/>
        <w:jc w:val="both"/>
        <w:rPr>
          <w:b/>
          <w:sz w:val="28"/>
          <w:szCs w:val="28"/>
        </w:rPr>
      </w:pPr>
      <w:r>
        <w:rPr>
          <w:b/>
          <w:sz w:val="28"/>
          <w:szCs w:val="28"/>
        </w:rPr>
        <w:t xml:space="preserve">                            </w:t>
      </w:r>
      <w:r w:rsidRPr="00B77DED">
        <w:rPr>
          <w:b/>
          <w:sz w:val="28"/>
          <w:szCs w:val="28"/>
        </w:rPr>
        <w:t>Brainstorm &amp; Idea Prioritization Template</w:t>
      </w:r>
    </w:p>
    <w:p w14:paraId="532C514A" w14:textId="77777777" w:rsidR="00B77DED" w:rsidRPr="00B77DED" w:rsidRDefault="00B77DED" w:rsidP="00B77DED">
      <w:pPr>
        <w:spacing w:after="83"/>
        <w:ind w:left="0" w:right="0" w:firstLine="0"/>
        <w:jc w:val="both"/>
        <w:rPr>
          <w:b/>
          <w:sz w:val="18"/>
          <w:szCs w:val="18"/>
        </w:rPr>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1"/>
        <w:gridCol w:w="4985"/>
      </w:tblGrid>
      <w:tr w:rsidR="00B77DED" w:rsidRPr="00B77DED" w14:paraId="4C39D8B1" w14:textId="77777777" w:rsidTr="00B77DED">
        <w:tc>
          <w:tcPr>
            <w:tcW w:w="4371" w:type="dxa"/>
            <w:tcBorders>
              <w:top w:val="single" w:sz="4" w:space="0" w:color="000000"/>
              <w:left w:val="single" w:sz="4" w:space="0" w:color="000000"/>
              <w:bottom w:val="single" w:sz="4" w:space="0" w:color="000000"/>
              <w:right w:val="single" w:sz="4" w:space="0" w:color="000000"/>
            </w:tcBorders>
            <w:hideMark/>
          </w:tcPr>
          <w:p w14:paraId="663762D1" w14:textId="77777777" w:rsidR="00B77DED" w:rsidRPr="00B77DED" w:rsidRDefault="00B77DED" w:rsidP="00B77DED">
            <w:pPr>
              <w:spacing w:after="83"/>
              <w:ind w:left="0" w:right="0" w:firstLine="0"/>
              <w:jc w:val="both"/>
              <w:rPr>
                <w:b/>
                <w:sz w:val="18"/>
                <w:szCs w:val="18"/>
              </w:rPr>
            </w:pPr>
            <w:r w:rsidRPr="00B77DED">
              <w:rPr>
                <w:b/>
                <w:sz w:val="18"/>
                <w:szCs w:val="18"/>
              </w:rPr>
              <w:t>Date</w:t>
            </w:r>
          </w:p>
        </w:tc>
        <w:tc>
          <w:tcPr>
            <w:tcW w:w="4985" w:type="dxa"/>
            <w:tcBorders>
              <w:top w:val="single" w:sz="4" w:space="0" w:color="000000"/>
              <w:left w:val="single" w:sz="4" w:space="0" w:color="000000"/>
              <w:bottom w:val="single" w:sz="4" w:space="0" w:color="000000"/>
              <w:right w:val="single" w:sz="4" w:space="0" w:color="000000"/>
            </w:tcBorders>
            <w:hideMark/>
          </w:tcPr>
          <w:p w14:paraId="75D6CB15" w14:textId="77777777" w:rsidR="00B77DED" w:rsidRPr="00B77DED" w:rsidRDefault="00B77DED" w:rsidP="00B77DED">
            <w:pPr>
              <w:spacing w:after="83"/>
              <w:ind w:left="0" w:right="0" w:firstLine="0"/>
              <w:jc w:val="both"/>
              <w:rPr>
                <w:b/>
                <w:sz w:val="18"/>
                <w:szCs w:val="18"/>
              </w:rPr>
            </w:pPr>
            <w:r w:rsidRPr="00B77DED">
              <w:rPr>
                <w:b/>
                <w:sz w:val="18"/>
                <w:szCs w:val="18"/>
              </w:rPr>
              <w:t>31 January 2025</w:t>
            </w:r>
          </w:p>
        </w:tc>
      </w:tr>
      <w:tr w:rsidR="00B77DED" w:rsidRPr="00B77DED" w14:paraId="7D9FC4CD" w14:textId="77777777" w:rsidTr="00B77DED">
        <w:tc>
          <w:tcPr>
            <w:tcW w:w="4371" w:type="dxa"/>
            <w:tcBorders>
              <w:top w:val="single" w:sz="4" w:space="0" w:color="000000"/>
              <w:left w:val="single" w:sz="4" w:space="0" w:color="000000"/>
              <w:bottom w:val="single" w:sz="4" w:space="0" w:color="000000"/>
              <w:right w:val="single" w:sz="4" w:space="0" w:color="000000"/>
            </w:tcBorders>
            <w:hideMark/>
          </w:tcPr>
          <w:p w14:paraId="623AE613" w14:textId="77777777" w:rsidR="00B77DED" w:rsidRPr="00B77DED" w:rsidRDefault="00B77DED" w:rsidP="00B77DED">
            <w:pPr>
              <w:spacing w:after="83"/>
              <w:ind w:left="0" w:right="0" w:firstLine="0"/>
              <w:jc w:val="both"/>
              <w:rPr>
                <w:b/>
                <w:sz w:val="18"/>
                <w:szCs w:val="18"/>
              </w:rPr>
            </w:pPr>
            <w:r w:rsidRPr="00B77DED">
              <w:rPr>
                <w:b/>
                <w:sz w:val="18"/>
                <w:szCs w:val="18"/>
              </w:rPr>
              <w:t>Team ID</w:t>
            </w:r>
          </w:p>
        </w:tc>
        <w:tc>
          <w:tcPr>
            <w:tcW w:w="4985" w:type="dxa"/>
            <w:tcBorders>
              <w:top w:val="single" w:sz="4" w:space="0" w:color="000000"/>
              <w:left w:val="single" w:sz="4" w:space="0" w:color="000000"/>
              <w:bottom w:val="single" w:sz="4" w:space="0" w:color="000000"/>
              <w:right w:val="single" w:sz="4" w:space="0" w:color="000000"/>
            </w:tcBorders>
          </w:tcPr>
          <w:p w14:paraId="089956B3" w14:textId="77777777" w:rsidR="00B77DED" w:rsidRPr="00B77DED" w:rsidRDefault="00B77DED" w:rsidP="00B77DED">
            <w:pPr>
              <w:spacing w:after="83"/>
              <w:ind w:left="0" w:right="0" w:firstLine="0"/>
              <w:jc w:val="both"/>
              <w:rPr>
                <w:b/>
                <w:sz w:val="18"/>
                <w:szCs w:val="18"/>
              </w:rPr>
            </w:pPr>
          </w:p>
        </w:tc>
      </w:tr>
      <w:tr w:rsidR="00B77DED" w:rsidRPr="00B77DED" w14:paraId="2B5ADAC0" w14:textId="77777777" w:rsidTr="00B77DED">
        <w:tc>
          <w:tcPr>
            <w:tcW w:w="4371" w:type="dxa"/>
            <w:tcBorders>
              <w:top w:val="single" w:sz="4" w:space="0" w:color="000000"/>
              <w:left w:val="single" w:sz="4" w:space="0" w:color="000000"/>
              <w:bottom w:val="single" w:sz="4" w:space="0" w:color="000000"/>
              <w:right w:val="single" w:sz="4" w:space="0" w:color="000000"/>
            </w:tcBorders>
            <w:hideMark/>
          </w:tcPr>
          <w:p w14:paraId="754DDA04" w14:textId="77777777" w:rsidR="00B77DED" w:rsidRPr="00B77DED" w:rsidRDefault="00B77DED" w:rsidP="00B77DED">
            <w:pPr>
              <w:spacing w:after="83"/>
              <w:ind w:left="0" w:right="0" w:firstLine="0"/>
              <w:jc w:val="both"/>
              <w:rPr>
                <w:b/>
                <w:sz w:val="18"/>
                <w:szCs w:val="18"/>
              </w:rPr>
            </w:pPr>
            <w:r w:rsidRPr="00B77DED">
              <w:rPr>
                <w:b/>
                <w:sz w:val="18"/>
                <w:szCs w:val="18"/>
              </w:rPr>
              <w:t>Project Name</w:t>
            </w:r>
          </w:p>
        </w:tc>
        <w:tc>
          <w:tcPr>
            <w:tcW w:w="4985" w:type="dxa"/>
            <w:tcBorders>
              <w:top w:val="single" w:sz="4" w:space="0" w:color="000000"/>
              <w:left w:val="single" w:sz="4" w:space="0" w:color="000000"/>
              <w:bottom w:val="single" w:sz="4" w:space="0" w:color="000000"/>
              <w:right w:val="single" w:sz="4" w:space="0" w:color="000000"/>
            </w:tcBorders>
          </w:tcPr>
          <w:p w14:paraId="46B1BADF" w14:textId="405A7752" w:rsidR="00B77DED" w:rsidRPr="00B77DED" w:rsidRDefault="00B77DED" w:rsidP="00B77DED">
            <w:pPr>
              <w:spacing w:after="83"/>
              <w:ind w:left="0" w:right="0" w:firstLine="0"/>
              <w:jc w:val="both"/>
              <w:rPr>
                <w:b/>
                <w:sz w:val="18"/>
                <w:szCs w:val="18"/>
              </w:rPr>
            </w:pPr>
            <w:r w:rsidRPr="00B77DED">
              <w:rPr>
                <w:b/>
                <w:bCs/>
                <w:sz w:val="18"/>
                <w:szCs w:val="18"/>
              </w:rPr>
              <w:t>Incident Lifecycle Automation in ServiceNow</w:t>
            </w:r>
          </w:p>
        </w:tc>
      </w:tr>
      <w:tr w:rsidR="00B77DED" w:rsidRPr="00B77DED" w14:paraId="1FFC0867" w14:textId="77777777" w:rsidTr="00B77DED">
        <w:tc>
          <w:tcPr>
            <w:tcW w:w="4371" w:type="dxa"/>
            <w:tcBorders>
              <w:top w:val="single" w:sz="4" w:space="0" w:color="000000"/>
              <w:left w:val="single" w:sz="4" w:space="0" w:color="000000"/>
              <w:bottom w:val="single" w:sz="4" w:space="0" w:color="000000"/>
              <w:right w:val="single" w:sz="4" w:space="0" w:color="000000"/>
            </w:tcBorders>
            <w:hideMark/>
          </w:tcPr>
          <w:p w14:paraId="5786B424" w14:textId="77777777" w:rsidR="00B77DED" w:rsidRPr="00B77DED" w:rsidRDefault="00B77DED" w:rsidP="00B77DED">
            <w:pPr>
              <w:spacing w:after="83"/>
              <w:ind w:left="0" w:right="0" w:firstLine="0"/>
              <w:jc w:val="both"/>
              <w:rPr>
                <w:b/>
                <w:sz w:val="18"/>
                <w:szCs w:val="18"/>
              </w:rPr>
            </w:pPr>
            <w:r w:rsidRPr="00B77DED">
              <w:rPr>
                <w:b/>
                <w:sz w:val="18"/>
                <w:szCs w:val="18"/>
              </w:rPr>
              <w:t>Maximum Marks</w:t>
            </w:r>
          </w:p>
        </w:tc>
        <w:tc>
          <w:tcPr>
            <w:tcW w:w="4985" w:type="dxa"/>
            <w:tcBorders>
              <w:top w:val="single" w:sz="4" w:space="0" w:color="000000"/>
              <w:left w:val="single" w:sz="4" w:space="0" w:color="000000"/>
              <w:bottom w:val="single" w:sz="4" w:space="0" w:color="000000"/>
              <w:right w:val="single" w:sz="4" w:space="0" w:color="000000"/>
            </w:tcBorders>
            <w:hideMark/>
          </w:tcPr>
          <w:p w14:paraId="65B9B25A" w14:textId="77777777" w:rsidR="00B77DED" w:rsidRPr="00B77DED" w:rsidRDefault="00B77DED" w:rsidP="00B77DED">
            <w:pPr>
              <w:spacing w:after="83"/>
              <w:ind w:left="0" w:right="0" w:firstLine="0"/>
              <w:jc w:val="both"/>
              <w:rPr>
                <w:b/>
                <w:sz w:val="18"/>
                <w:szCs w:val="18"/>
              </w:rPr>
            </w:pPr>
            <w:r w:rsidRPr="00B77DED">
              <w:rPr>
                <w:b/>
                <w:sz w:val="18"/>
                <w:szCs w:val="18"/>
              </w:rPr>
              <w:t>4 Marks</w:t>
            </w:r>
          </w:p>
        </w:tc>
      </w:tr>
    </w:tbl>
    <w:p w14:paraId="53CCA9A8" w14:textId="77777777" w:rsidR="00B77DED" w:rsidRPr="00905A59" w:rsidRDefault="00B77DED" w:rsidP="00B77DED">
      <w:pPr>
        <w:spacing w:after="83"/>
        <w:ind w:left="0" w:right="0" w:firstLine="0"/>
        <w:jc w:val="both"/>
        <w:rPr>
          <w:b/>
          <w:bCs/>
          <w:sz w:val="18"/>
          <w:szCs w:val="18"/>
        </w:rPr>
      </w:pPr>
    </w:p>
    <w:p w14:paraId="6A65F660" w14:textId="338958F2" w:rsidR="007E6FE7" w:rsidRPr="00905A59" w:rsidRDefault="00B77DED" w:rsidP="00B77DED">
      <w:pPr>
        <w:spacing w:after="83"/>
        <w:ind w:left="0" w:right="0" w:firstLine="0"/>
        <w:jc w:val="both"/>
        <w:rPr>
          <w:b/>
          <w:bCs/>
          <w:sz w:val="32"/>
        </w:rPr>
      </w:pPr>
      <w:r w:rsidRPr="00905A59">
        <w:rPr>
          <w:b/>
          <w:bCs/>
          <w:sz w:val="18"/>
          <w:szCs w:val="18"/>
        </w:rPr>
        <w:t xml:space="preserve">    </w:t>
      </w:r>
      <w:r w:rsidR="00000000" w:rsidRPr="00905A59">
        <w:rPr>
          <w:b/>
          <w:bCs/>
        </w:rPr>
        <w:t>Step 1: Select the Problem Statement</w:t>
      </w:r>
    </w:p>
    <w:p w14:paraId="64A9A700" w14:textId="77777777" w:rsidR="007E6FE7" w:rsidRDefault="00000000" w:rsidP="00B77DED">
      <w:pPr>
        <w:pStyle w:val="Heading2"/>
        <w:ind w:left="228"/>
        <w:jc w:val="both"/>
      </w:pPr>
      <w:r>
        <w:t>Problem Statement</w:t>
      </w:r>
    </w:p>
    <w:p w14:paraId="5B789AF1" w14:textId="77777777" w:rsidR="007E6FE7" w:rsidRDefault="00000000" w:rsidP="00B77DED">
      <w:pPr>
        <w:spacing w:after="141"/>
        <w:ind w:left="228" w:right="174"/>
        <w:jc w:val="both"/>
      </w:pPr>
      <w:r>
        <w:t>Incident management is an important IT service management process. When incidents are not recorded, classified, assigned, investigated, and resolved in a consistent way, support teams may experience delays, incomplete documentation, repeated troubleshooting, and limited visibility into progress. A structured process is needed to manage incidents throughout their lifecycle.</w:t>
      </w:r>
    </w:p>
    <w:p w14:paraId="3CDCF7A0" w14:textId="77777777" w:rsidR="007E6FE7" w:rsidRDefault="00000000" w:rsidP="00B77DED">
      <w:pPr>
        <w:pStyle w:val="Heading2"/>
        <w:ind w:left="228"/>
        <w:jc w:val="both"/>
      </w:pPr>
      <w:r>
        <w:t>Project Idea</w:t>
      </w:r>
    </w:p>
    <w:p w14:paraId="04149A6F" w14:textId="77777777" w:rsidR="007E6FE7" w:rsidRDefault="00000000" w:rsidP="00B77DED">
      <w:pPr>
        <w:spacing w:after="141"/>
        <w:ind w:left="228" w:right="174"/>
        <w:jc w:val="both"/>
      </w:pPr>
      <w:r>
        <w:t>Incident Lifecycle Automation in ServiceNow uses the ServiceNow Incident Management capabilities to organize incident handling from creation and classification through assignment, investigation, resolution, and closure. It also uses related capabilities such as Knowledge Management, related change requests, parent–child incidents, resolution documentation, and SLA tracking where configured.</w:t>
      </w:r>
    </w:p>
    <w:p w14:paraId="2575379E" w14:textId="77777777" w:rsidR="007E6FE7" w:rsidRDefault="00000000" w:rsidP="00B77DED">
      <w:pPr>
        <w:pStyle w:val="Heading2"/>
        <w:ind w:left="228"/>
        <w:jc w:val="both"/>
      </w:pPr>
      <w:r>
        <w:t>Objective</w:t>
      </w:r>
    </w:p>
    <w:p w14:paraId="245CB254" w14:textId="039FECF1" w:rsidR="00905A59" w:rsidRPr="00905A59" w:rsidRDefault="00000000" w:rsidP="00905A59">
      <w:pPr>
        <w:spacing w:after="251"/>
        <w:ind w:left="228" w:right="174"/>
        <w:jc w:val="both"/>
      </w:pPr>
      <w:r>
        <w:t>The objective is to demonstrate a structured incident lifecycle in ServiceNow, improve consistency in incident handling, support knowledge-based troubleshooting, route incidents to appropriate support groups, maintain resolution details, and make related records and applicable SLAs easier to track.</w:t>
      </w:r>
    </w:p>
    <w:p w14:paraId="5C75ED72" w14:textId="7FF68F29" w:rsidR="007E6FE7" w:rsidRPr="00905A59" w:rsidRDefault="00905A59" w:rsidP="00905A59">
      <w:pPr>
        <w:spacing w:after="83"/>
        <w:ind w:left="0" w:right="0" w:firstLine="0"/>
        <w:jc w:val="both"/>
        <w:rPr>
          <w:b/>
          <w:bCs/>
          <w:sz w:val="32"/>
        </w:rPr>
      </w:pPr>
      <w:r w:rsidRPr="00905A59">
        <w:rPr>
          <w:b/>
          <w:bCs/>
          <w:sz w:val="18"/>
          <w:szCs w:val="18"/>
        </w:rPr>
        <w:t xml:space="preserve">    </w:t>
      </w:r>
      <w:r w:rsidRPr="00905A59">
        <w:rPr>
          <w:b/>
          <w:bCs/>
        </w:rPr>
        <w:t xml:space="preserve">Step </w:t>
      </w:r>
      <w:r>
        <w:rPr>
          <w:b/>
          <w:bCs/>
        </w:rPr>
        <w:t>2</w:t>
      </w:r>
      <w:r w:rsidRPr="00905A59">
        <w:rPr>
          <w:b/>
          <w:bCs/>
        </w:rPr>
        <w:t>: Brainstorm, List and Group Ideas</w:t>
      </w:r>
    </w:p>
    <w:p w14:paraId="33231ECF" w14:textId="77777777" w:rsidR="007E6FE7" w:rsidRDefault="00000000" w:rsidP="00B77DED">
      <w:pPr>
        <w:ind w:left="228" w:right="174"/>
        <w:jc w:val="both"/>
      </w:pPr>
      <w:r>
        <w:t>The following ideas were considered for improving incident lifecycle management:</w:t>
      </w:r>
    </w:p>
    <w:tbl>
      <w:tblPr>
        <w:tblStyle w:val="TableGrid"/>
        <w:tblW w:w="9184" w:type="dxa"/>
        <w:tblInd w:w="233" w:type="dxa"/>
        <w:tblCellMar>
          <w:top w:w="148" w:type="dxa"/>
          <w:left w:w="120" w:type="dxa"/>
          <w:bottom w:w="0" w:type="dxa"/>
          <w:right w:w="115" w:type="dxa"/>
        </w:tblCellMar>
        <w:tblLook w:val="04A0" w:firstRow="1" w:lastRow="0" w:firstColumn="1" w:lastColumn="0" w:noHBand="0" w:noVBand="1"/>
      </w:tblPr>
      <w:tblGrid>
        <w:gridCol w:w="2551"/>
        <w:gridCol w:w="6633"/>
      </w:tblGrid>
      <w:tr w:rsidR="007E6FE7" w14:paraId="6E9C79E6" w14:textId="77777777">
        <w:trPr>
          <w:trHeight w:val="420"/>
        </w:trPr>
        <w:tc>
          <w:tcPr>
            <w:tcW w:w="2551" w:type="dxa"/>
            <w:tcBorders>
              <w:top w:val="single" w:sz="3" w:space="0" w:color="AAB4BE"/>
              <w:left w:val="single" w:sz="3" w:space="0" w:color="AAB4BE"/>
              <w:bottom w:val="single" w:sz="3" w:space="0" w:color="AAB4BE"/>
              <w:right w:val="single" w:sz="3" w:space="0" w:color="AAB4BE"/>
            </w:tcBorders>
            <w:shd w:val="clear" w:color="auto" w:fill="D9E5F2"/>
            <w:vAlign w:val="center"/>
          </w:tcPr>
          <w:p w14:paraId="6561B05B" w14:textId="77777777" w:rsidR="007E6FE7" w:rsidRDefault="00000000" w:rsidP="00B77DED">
            <w:pPr>
              <w:spacing w:after="0"/>
              <w:ind w:left="0" w:right="0" w:firstLine="0"/>
              <w:jc w:val="both"/>
            </w:pPr>
            <w:r>
              <w:rPr>
                <w:b/>
                <w:sz w:val="17"/>
              </w:rPr>
              <w:t>Idea</w:t>
            </w:r>
          </w:p>
        </w:tc>
        <w:tc>
          <w:tcPr>
            <w:tcW w:w="6633" w:type="dxa"/>
            <w:tcBorders>
              <w:top w:val="single" w:sz="3" w:space="0" w:color="AAB4BE"/>
              <w:left w:val="single" w:sz="3" w:space="0" w:color="AAB4BE"/>
              <w:bottom w:val="single" w:sz="3" w:space="0" w:color="AAB4BE"/>
              <w:right w:val="single" w:sz="3" w:space="0" w:color="AAB4BE"/>
            </w:tcBorders>
            <w:shd w:val="clear" w:color="auto" w:fill="D9E5F2"/>
            <w:vAlign w:val="center"/>
          </w:tcPr>
          <w:p w14:paraId="6FB785FF" w14:textId="77777777" w:rsidR="007E6FE7" w:rsidRDefault="00000000" w:rsidP="00B77DED">
            <w:pPr>
              <w:spacing w:after="0"/>
              <w:ind w:left="0" w:right="0" w:firstLine="0"/>
              <w:jc w:val="both"/>
            </w:pPr>
            <w:r>
              <w:rPr>
                <w:b/>
                <w:sz w:val="17"/>
              </w:rPr>
              <w:t>Description</w:t>
            </w:r>
          </w:p>
        </w:tc>
      </w:tr>
      <w:tr w:rsidR="007E6FE7" w14:paraId="5C67DED8" w14:textId="77777777">
        <w:trPr>
          <w:trHeight w:val="420"/>
        </w:trPr>
        <w:tc>
          <w:tcPr>
            <w:tcW w:w="2551" w:type="dxa"/>
            <w:tcBorders>
              <w:top w:val="single" w:sz="3" w:space="0" w:color="AAB4BE"/>
              <w:left w:val="single" w:sz="3" w:space="0" w:color="AAB4BE"/>
              <w:bottom w:val="single" w:sz="3" w:space="0" w:color="AAB4BE"/>
              <w:right w:val="single" w:sz="3" w:space="0" w:color="AAB4BE"/>
            </w:tcBorders>
            <w:vAlign w:val="center"/>
          </w:tcPr>
          <w:p w14:paraId="03FD6CE9" w14:textId="77777777" w:rsidR="007E6FE7" w:rsidRDefault="00000000" w:rsidP="00B77DED">
            <w:pPr>
              <w:spacing w:after="0"/>
              <w:ind w:left="0" w:right="0" w:firstLine="0"/>
              <w:jc w:val="both"/>
            </w:pPr>
            <w:r>
              <w:rPr>
                <w:sz w:val="17"/>
              </w:rPr>
              <w:t>1. Incident recording</w:t>
            </w:r>
          </w:p>
        </w:tc>
        <w:tc>
          <w:tcPr>
            <w:tcW w:w="6633" w:type="dxa"/>
            <w:tcBorders>
              <w:top w:val="single" w:sz="3" w:space="0" w:color="AAB4BE"/>
              <w:left w:val="single" w:sz="3" w:space="0" w:color="AAB4BE"/>
              <w:bottom w:val="single" w:sz="3" w:space="0" w:color="AAB4BE"/>
              <w:right w:val="single" w:sz="3" w:space="0" w:color="AAB4BE"/>
            </w:tcBorders>
            <w:vAlign w:val="center"/>
          </w:tcPr>
          <w:p w14:paraId="2C47DFF7" w14:textId="77777777" w:rsidR="007E6FE7" w:rsidRDefault="00000000" w:rsidP="00B77DED">
            <w:pPr>
              <w:spacing w:after="0"/>
              <w:ind w:left="0" w:right="0" w:firstLine="0"/>
              <w:jc w:val="both"/>
            </w:pPr>
            <w:r>
              <w:rPr>
                <w:sz w:val="17"/>
              </w:rPr>
              <w:t>Capture a clear incident description and relevant caller information.</w:t>
            </w:r>
          </w:p>
        </w:tc>
      </w:tr>
      <w:tr w:rsidR="007E6FE7" w14:paraId="702179C9" w14:textId="77777777">
        <w:trPr>
          <w:trHeight w:val="640"/>
        </w:trPr>
        <w:tc>
          <w:tcPr>
            <w:tcW w:w="2551" w:type="dxa"/>
            <w:tcBorders>
              <w:top w:val="single" w:sz="3" w:space="0" w:color="AAB4BE"/>
              <w:left w:val="single" w:sz="3" w:space="0" w:color="AAB4BE"/>
              <w:bottom w:val="single" w:sz="3" w:space="0" w:color="AAB4BE"/>
              <w:right w:val="single" w:sz="3" w:space="0" w:color="AAB4BE"/>
            </w:tcBorders>
          </w:tcPr>
          <w:p w14:paraId="17DCF5B0" w14:textId="77777777" w:rsidR="007E6FE7" w:rsidRDefault="00000000" w:rsidP="00B77DED">
            <w:pPr>
              <w:spacing w:after="0"/>
              <w:ind w:left="0" w:right="0" w:firstLine="0"/>
              <w:jc w:val="both"/>
            </w:pPr>
            <w:r>
              <w:rPr>
                <w:sz w:val="17"/>
              </w:rPr>
              <w:t>2. Incident classification</w:t>
            </w:r>
          </w:p>
        </w:tc>
        <w:tc>
          <w:tcPr>
            <w:tcW w:w="6633" w:type="dxa"/>
            <w:tcBorders>
              <w:top w:val="single" w:sz="3" w:space="0" w:color="AAB4BE"/>
              <w:left w:val="single" w:sz="3" w:space="0" w:color="AAB4BE"/>
              <w:bottom w:val="single" w:sz="3" w:space="0" w:color="AAB4BE"/>
              <w:right w:val="single" w:sz="3" w:space="0" w:color="AAB4BE"/>
            </w:tcBorders>
            <w:vAlign w:val="center"/>
          </w:tcPr>
          <w:p w14:paraId="12CA2606" w14:textId="77777777" w:rsidR="007E6FE7" w:rsidRDefault="00000000" w:rsidP="00B77DED">
            <w:pPr>
              <w:spacing w:after="0"/>
              <w:ind w:left="0" w:right="0" w:firstLine="0"/>
              <w:jc w:val="both"/>
            </w:pPr>
            <w:r>
              <w:rPr>
                <w:sz w:val="17"/>
              </w:rPr>
              <w:t>Use category, subcategory, urgency, service, and configuration item (CI) fields where applicable.</w:t>
            </w:r>
          </w:p>
        </w:tc>
      </w:tr>
      <w:tr w:rsidR="007E6FE7" w14:paraId="0D6B52F4" w14:textId="77777777">
        <w:trPr>
          <w:trHeight w:val="420"/>
        </w:trPr>
        <w:tc>
          <w:tcPr>
            <w:tcW w:w="2551" w:type="dxa"/>
            <w:tcBorders>
              <w:top w:val="single" w:sz="3" w:space="0" w:color="AAB4BE"/>
              <w:left w:val="single" w:sz="3" w:space="0" w:color="AAB4BE"/>
              <w:bottom w:val="single" w:sz="3" w:space="0" w:color="AAB4BE"/>
              <w:right w:val="single" w:sz="3" w:space="0" w:color="AAB4BE"/>
            </w:tcBorders>
            <w:vAlign w:val="center"/>
          </w:tcPr>
          <w:p w14:paraId="4F4A0A68" w14:textId="77777777" w:rsidR="007E6FE7" w:rsidRDefault="00000000" w:rsidP="00B77DED">
            <w:pPr>
              <w:spacing w:after="0"/>
              <w:ind w:left="0" w:right="0" w:firstLine="0"/>
              <w:jc w:val="both"/>
            </w:pPr>
            <w:r>
              <w:rPr>
                <w:sz w:val="17"/>
              </w:rPr>
              <w:t>3. Knowledge support</w:t>
            </w:r>
          </w:p>
        </w:tc>
        <w:tc>
          <w:tcPr>
            <w:tcW w:w="6633" w:type="dxa"/>
            <w:tcBorders>
              <w:top w:val="single" w:sz="3" w:space="0" w:color="AAB4BE"/>
              <w:left w:val="single" w:sz="3" w:space="0" w:color="AAB4BE"/>
              <w:bottom w:val="single" w:sz="3" w:space="0" w:color="AAB4BE"/>
              <w:right w:val="single" w:sz="3" w:space="0" w:color="AAB4BE"/>
            </w:tcBorders>
            <w:vAlign w:val="center"/>
          </w:tcPr>
          <w:p w14:paraId="667E1152" w14:textId="77777777" w:rsidR="007E6FE7" w:rsidRDefault="00000000" w:rsidP="00B77DED">
            <w:pPr>
              <w:spacing w:after="0"/>
              <w:ind w:left="0" w:right="0" w:firstLine="0"/>
              <w:jc w:val="both"/>
            </w:pPr>
            <w:r>
              <w:rPr>
                <w:sz w:val="17"/>
              </w:rPr>
              <w:t>Use relevant Knowledge articles to assist troubleshooting and incident resolution.</w:t>
            </w:r>
          </w:p>
        </w:tc>
      </w:tr>
      <w:tr w:rsidR="007E6FE7" w14:paraId="57344D08" w14:textId="77777777">
        <w:trPr>
          <w:trHeight w:val="640"/>
        </w:trPr>
        <w:tc>
          <w:tcPr>
            <w:tcW w:w="2551" w:type="dxa"/>
            <w:tcBorders>
              <w:top w:val="single" w:sz="3" w:space="0" w:color="AAB4BE"/>
              <w:left w:val="single" w:sz="3" w:space="0" w:color="AAB4BE"/>
              <w:bottom w:val="single" w:sz="3" w:space="0" w:color="AAB4BE"/>
              <w:right w:val="single" w:sz="3" w:space="0" w:color="AAB4BE"/>
            </w:tcBorders>
            <w:vAlign w:val="center"/>
          </w:tcPr>
          <w:p w14:paraId="695A1E26" w14:textId="458F2A77" w:rsidR="007E6FE7" w:rsidRDefault="00000000" w:rsidP="00B77DED">
            <w:pPr>
              <w:spacing w:after="0"/>
              <w:ind w:left="0" w:right="0" w:firstLine="0"/>
              <w:jc w:val="both"/>
            </w:pPr>
            <w:r>
              <w:rPr>
                <w:sz w:val="17"/>
              </w:rPr>
              <w:t>4.Assignment</w:t>
            </w:r>
            <w:r w:rsidR="00B77DED">
              <w:rPr>
                <w:sz w:val="17"/>
              </w:rPr>
              <w:t xml:space="preserve"> &amp;</w:t>
            </w:r>
            <w:r>
              <w:rPr>
                <w:sz w:val="17"/>
              </w:rPr>
              <w:t xml:space="preserve"> reassignment</w:t>
            </w:r>
          </w:p>
        </w:tc>
        <w:tc>
          <w:tcPr>
            <w:tcW w:w="6633" w:type="dxa"/>
            <w:tcBorders>
              <w:top w:val="single" w:sz="3" w:space="0" w:color="AAB4BE"/>
              <w:left w:val="single" w:sz="3" w:space="0" w:color="AAB4BE"/>
              <w:bottom w:val="single" w:sz="3" w:space="0" w:color="AAB4BE"/>
              <w:right w:val="single" w:sz="3" w:space="0" w:color="AAB4BE"/>
            </w:tcBorders>
          </w:tcPr>
          <w:p w14:paraId="41438AE5" w14:textId="77777777" w:rsidR="007E6FE7" w:rsidRDefault="00000000" w:rsidP="00B77DED">
            <w:pPr>
              <w:spacing w:after="0"/>
              <w:ind w:left="0" w:right="0" w:firstLine="0"/>
              <w:jc w:val="both"/>
            </w:pPr>
            <w:r>
              <w:rPr>
                <w:sz w:val="17"/>
              </w:rPr>
              <w:t>Route incidents to the appropriate support group for investigation.</w:t>
            </w:r>
          </w:p>
        </w:tc>
      </w:tr>
      <w:tr w:rsidR="007E6FE7" w14:paraId="43F8FCC2" w14:textId="77777777">
        <w:trPr>
          <w:trHeight w:val="640"/>
        </w:trPr>
        <w:tc>
          <w:tcPr>
            <w:tcW w:w="2551" w:type="dxa"/>
            <w:tcBorders>
              <w:top w:val="single" w:sz="3" w:space="0" w:color="AAB4BE"/>
              <w:left w:val="single" w:sz="3" w:space="0" w:color="AAB4BE"/>
              <w:bottom w:val="single" w:sz="3" w:space="0" w:color="AAB4BE"/>
              <w:right w:val="single" w:sz="3" w:space="0" w:color="AAB4BE"/>
            </w:tcBorders>
          </w:tcPr>
          <w:p w14:paraId="0C7BFD95" w14:textId="77777777" w:rsidR="007E6FE7" w:rsidRDefault="00000000" w:rsidP="00B77DED">
            <w:pPr>
              <w:spacing w:after="0"/>
              <w:ind w:left="0" w:right="0" w:firstLine="0"/>
              <w:jc w:val="both"/>
            </w:pPr>
            <w:r>
              <w:rPr>
                <w:sz w:val="17"/>
              </w:rPr>
              <w:t>5. Change handling</w:t>
            </w:r>
          </w:p>
        </w:tc>
        <w:tc>
          <w:tcPr>
            <w:tcW w:w="6633" w:type="dxa"/>
            <w:tcBorders>
              <w:top w:val="single" w:sz="3" w:space="0" w:color="AAB4BE"/>
              <w:left w:val="single" w:sz="3" w:space="0" w:color="AAB4BE"/>
              <w:bottom w:val="single" w:sz="3" w:space="0" w:color="AAB4BE"/>
              <w:right w:val="single" w:sz="3" w:space="0" w:color="AAB4BE"/>
            </w:tcBorders>
            <w:vAlign w:val="center"/>
          </w:tcPr>
          <w:p w14:paraId="0BBBF029" w14:textId="77777777" w:rsidR="007E6FE7" w:rsidRDefault="00000000" w:rsidP="00B77DED">
            <w:pPr>
              <w:spacing w:after="0"/>
              <w:ind w:left="0" w:right="0" w:firstLine="0"/>
              <w:jc w:val="both"/>
            </w:pPr>
            <w:r>
              <w:rPr>
                <w:sz w:val="17"/>
              </w:rPr>
              <w:t>Create or associate a change request when a change is required to resolve an incident.</w:t>
            </w:r>
          </w:p>
        </w:tc>
      </w:tr>
      <w:tr w:rsidR="007E6FE7" w14:paraId="13AD0E08" w14:textId="77777777">
        <w:trPr>
          <w:trHeight w:val="420"/>
        </w:trPr>
        <w:tc>
          <w:tcPr>
            <w:tcW w:w="2551" w:type="dxa"/>
            <w:tcBorders>
              <w:top w:val="single" w:sz="3" w:space="0" w:color="AAB4BE"/>
              <w:left w:val="single" w:sz="3" w:space="0" w:color="AAB4BE"/>
              <w:bottom w:val="single" w:sz="3" w:space="0" w:color="AAB4BE"/>
              <w:right w:val="single" w:sz="3" w:space="0" w:color="AAB4BE"/>
            </w:tcBorders>
            <w:vAlign w:val="center"/>
          </w:tcPr>
          <w:p w14:paraId="42056A3B" w14:textId="77777777" w:rsidR="007E6FE7" w:rsidRDefault="00000000" w:rsidP="00B77DED">
            <w:pPr>
              <w:spacing w:after="0"/>
              <w:ind w:left="0" w:right="0" w:firstLine="0"/>
              <w:jc w:val="both"/>
            </w:pPr>
            <w:r>
              <w:rPr>
                <w:sz w:val="17"/>
              </w:rPr>
              <w:t>6. Related incidents</w:t>
            </w:r>
          </w:p>
        </w:tc>
        <w:tc>
          <w:tcPr>
            <w:tcW w:w="6633" w:type="dxa"/>
            <w:tcBorders>
              <w:top w:val="single" w:sz="3" w:space="0" w:color="AAB4BE"/>
              <w:left w:val="single" w:sz="3" w:space="0" w:color="AAB4BE"/>
              <w:bottom w:val="single" w:sz="3" w:space="0" w:color="AAB4BE"/>
              <w:right w:val="single" w:sz="3" w:space="0" w:color="AAB4BE"/>
            </w:tcBorders>
            <w:vAlign w:val="center"/>
          </w:tcPr>
          <w:p w14:paraId="64C92569" w14:textId="77777777" w:rsidR="007E6FE7" w:rsidRDefault="00000000" w:rsidP="00B77DED">
            <w:pPr>
              <w:spacing w:after="0"/>
              <w:ind w:left="0" w:right="0" w:firstLine="0"/>
              <w:jc w:val="both"/>
            </w:pPr>
            <w:r>
              <w:rPr>
                <w:sz w:val="17"/>
              </w:rPr>
              <w:t>Link related incidents through parent–child relationships when appropriate.</w:t>
            </w:r>
          </w:p>
        </w:tc>
      </w:tr>
      <w:tr w:rsidR="007E6FE7" w14:paraId="2DBCB1A9" w14:textId="77777777">
        <w:trPr>
          <w:trHeight w:val="420"/>
        </w:trPr>
        <w:tc>
          <w:tcPr>
            <w:tcW w:w="2551" w:type="dxa"/>
            <w:tcBorders>
              <w:top w:val="single" w:sz="3" w:space="0" w:color="AAB4BE"/>
              <w:left w:val="single" w:sz="3" w:space="0" w:color="AAB4BE"/>
              <w:bottom w:val="single" w:sz="3" w:space="0" w:color="AAB4BE"/>
              <w:right w:val="single" w:sz="3" w:space="0" w:color="AAB4BE"/>
            </w:tcBorders>
            <w:vAlign w:val="center"/>
          </w:tcPr>
          <w:p w14:paraId="70FFF70F" w14:textId="77777777" w:rsidR="007E6FE7" w:rsidRDefault="00000000" w:rsidP="00B77DED">
            <w:pPr>
              <w:spacing w:after="0"/>
              <w:ind w:left="0" w:right="0" w:firstLine="0"/>
              <w:jc w:val="both"/>
            </w:pPr>
            <w:r>
              <w:rPr>
                <w:sz w:val="17"/>
              </w:rPr>
              <w:t>7. Resolution documentation</w:t>
            </w:r>
          </w:p>
        </w:tc>
        <w:tc>
          <w:tcPr>
            <w:tcW w:w="6633" w:type="dxa"/>
            <w:tcBorders>
              <w:top w:val="single" w:sz="3" w:space="0" w:color="AAB4BE"/>
              <w:left w:val="single" w:sz="3" w:space="0" w:color="AAB4BE"/>
              <w:bottom w:val="single" w:sz="3" w:space="0" w:color="AAB4BE"/>
              <w:right w:val="single" w:sz="3" w:space="0" w:color="AAB4BE"/>
            </w:tcBorders>
            <w:vAlign w:val="center"/>
          </w:tcPr>
          <w:p w14:paraId="26B5F675" w14:textId="77777777" w:rsidR="007E6FE7" w:rsidRDefault="00000000" w:rsidP="00B77DED">
            <w:pPr>
              <w:spacing w:after="0"/>
              <w:ind w:left="0" w:right="0" w:firstLine="0"/>
              <w:jc w:val="both"/>
            </w:pPr>
            <w:r>
              <w:rPr>
                <w:sz w:val="17"/>
              </w:rPr>
              <w:t>Record cause, workaround, work notes, and resolution details for future reference.</w:t>
            </w:r>
          </w:p>
        </w:tc>
      </w:tr>
      <w:tr w:rsidR="007E6FE7" w14:paraId="533C5593" w14:textId="77777777">
        <w:trPr>
          <w:trHeight w:val="420"/>
        </w:trPr>
        <w:tc>
          <w:tcPr>
            <w:tcW w:w="2551" w:type="dxa"/>
            <w:tcBorders>
              <w:top w:val="single" w:sz="3" w:space="0" w:color="AAB4BE"/>
              <w:left w:val="single" w:sz="3" w:space="0" w:color="AAB4BE"/>
              <w:bottom w:val="single" w:sz="3" w:space="0" w:color="AAB4BE"/>
              <w:right w:val="single" w:sz="3" w:space="0" w:color="AAB4BE"/>
            </w:tcBorders>
            <w:vAlign w:val="center"/>
          </w:tcPr>
          <w:p w14:paraId="3AF85AFD" w14:textId="77777777" w:rsidR="007E6FE7" w:rsidRDefault="00000000" w:rsidP="00B77DED">
            <w:pPr>
              <w:spacing w:after="0"/>
              <w:ind w:left="0" w:right="0" w:firstLine="0"/>
              <w:jc w:val="both"/>
            </w:pPr>
            <w:r>
              <w:rPr>
                <w:sz w:val="17"/>
              </w:rPr>
              <w:t>8. SLA tracking</w:t>
            </w:r>
          </w:p>
        </w:tc>
        <w:tc>
          <w:tcPr>
            <w:tcW w:w="6633" w:type="dxa"/>
            <w:tcBorders>
              <w:top w:val="single" w:sz="3" w:space="0" w:color="AAB4BE"/>
              <w:left w:val="single" w:sz="3" w:space="0" w:color="AAB4BE"/>
              <w:bottom w:val="single" w:sz="3" w:space="0" w:color="AAB4BE"/>
              <w:right w:val="single" w:sz="3" w:space="0" w:color="AAB4BE"/>
            </w:tcBorders>
            <w:vAlign w:val="center"/>
          </w:tcPr>
          <w:p w14:paraId="64C77765" w14:textId="77777777" w:rsidR="007E6FE7" w:rsidRDefault="00000000" w:rsidP="00B77DED">
            <w:pPr>
              <w:spacing w:after="0"/>
              <w:ind w:left="0" w:right="0" w:firstLine="0"/>
              <w:jc w:val="both"/>
            </w:pPr>
            <w:r>
              <w:rPr>
                <w:sz w:val="17"/>
              </w:rPr>
              <w:t>Review applicable task SLAs and related records to monitor incident handling.</w:t>
            </w:r>
          </w:p>
        </w:tc>
      </w:tr>
    </w:tbl>
    <w:p w14:paraId="4CABDA38" w14:textId="53EFDEA0" w:rsidR="007E6FE7" w:rsidRDefault="007E6FE7" w:rsidP="00B77DED">
      <w:pPr>
        <w:pStyle w:val="Heading2"/>
        <w:spacing w:after="517"/>
        <w:ind w:left="0" w:firstLine="0"/>
        <w:jc w:val="both"/>
      </w:pPr>
    </w:p>
    <w:p w14:paraId="77DF6CCF" w14:textId="2C3FC764" w:rsidR="007E6FE7" w:rsidRDefault="007E6FE7" w:rsidP="00B77DED">
      <w:pPr>
        <w:spacing w:after="225"/>
        <w:ind w:left="0" w:right="0" w:firstLine="0"/>
        <w:jc w:val="both"/>
      </w:pPr>
    </w:p>
    <w:p w14:paraId="0C313D42" w14:textId="6FF0B0AB" w:rsidR="007E6FE7" w:rsidRPr="00905A59" w:rsidRDefault="00B77DED" w:rsidP="00905A59">
      <w:pPr>
        <w:spacing w:after="83"/>
        <w:ind w:left="0" w:right="0" w:firstLine="0"/>
        <w:jc w:val="both"/>
        <w:rPr>
          <w:b/>
          <w:bCs/>
          <w:sz w:val="32"/>
        </w:rPr>
      </w:pPr>
      <w:r>
        <w:lastRenderedPageBreak/>
        <w:t xml:space="preserve">   </w:t>
      </w:r>
      <w:r w:rsidR="00905A59" w:rsidRPr="00905A59">
        <w:rPr>
          <w:b/>
          <w:bCs/>
        </w:rPr>
        <w:t xml:space="preserve">Step </w:t>
      </w:r>
      <w:r w:rsidR="00905A59">
        <w:rPr>
          <w:b/>
          <w:bCs/>
        </w:rPr>
        <w:t>3</w:t>
      </w:r>
      <w:r w:rsidR="00905A59" w:rsidRPr="00905A59">
        <w:rPr>
          <w:b/>
          <w:bCs/>
        </w:rPr>
        <w:t>:</w:t>
      </w:r>
      <w:r w:rsidR="00905A59">
        <w:rPr>
          <w:b/>
          <w:bCs/>
        </w:rPr>
        <w:t xml:space="preserve"> </w:t>
      </w:r>
      <w:r w:rsidR="00905A59" w:rsidRPr="00905A59">
        <w:rPr>
          <w:b/>
          <w:bCs/>
        </w:rPr>
        <w:t>Idea Prioritization</w:t>
      </w:r>
    </w:p>
    <w:p w14:paraId="5807BFA0" w14:textId="77777777" w:rsidR="007E6FE7" w:rsidRDefault="00000000" w:rsidP="00B77DED">
      <w:pPr>
        <w:ind w:left="228" w:right="174"/>
        <w:jc w:val="both"/>
      </w:pPr>
      <w:r>
        <w:t>Ideas are prioritized according to their importance in the incident lifecycle, practical usefulness, and feasibility within ServiceNow.</w:t>
      </w:r>
    </w:p>
    <w:tbl>
      <w:tblPr>
        <w:tblStyle w:val="TableGrid"/>
        <w:tblW w:w="9184" w:type="dxa"/>
        <w:tblInd w:w="233" w:type="dxa"/>
        <w:tblCellMar>
          <w:top w:w="168" w:type="dxa"/>
          <w:left w:w="120" w:type="dxa"/>
          <w:bottom w:w="0" w:type="dxa"/>
          <w:right w:w="115" w:type="dxa"/>
        </w:tblCellMar>
        <w:tblLook w:val="04A0" w:firstRow="1" w:lastRow="0" w:firstColumn="1" w:lastColumn="0" w:noHBand="0" w:noVBand="1"/>
      </w:tblPr>
      <w:tblGrid>
        <w:gridCol w:w="1701"/>
        <w:gridCol w:w="3968"/>
        <w:gridCol w:w="3515"/>
      </w:tblGrid>
      <w:tr w:rsidR="007E6FE7" w14:paraId="7CADD857" w14:textId="77777777">
        <w:trPr>
          <w:trHeight w:val="460"/>
        </w:trPr>
        <w:tc>
          <w:tcPr>
            <w:tcW w:w="1701" w:type="dxa"/>
            <w:tcBorders>
              <w:top w:val="single" w:sz="3" w:space="0" w:color="AAB4BE"/>
              <w:left w:val="single" w:sz="3" w:space="0" w:color="AAB4BE"/>
              <w:bottom w:val="single" w:sz="3" w:space="0" w:color="AAB4BE"/>
              <w:right w:val="single" w:sz="3" w:space="0" w:color="AAB4BE"/>
            </w:tcBorders>
            <w:shd w:val="clear" w:color="auto" w:fill="D9E5F2"/>
            <w:vAlign w:val="center"/>
          </w:tcPr>
          <w:p w14:paraId="3C4F553C" w14:textId="77777777" w:rsidR="007E6FE7" w:rsidRDefault="00000000" w:rsidP="00B77DED">
            <w:pPr>
              <w:spacing w:after="0"/>
              <w:ind w:left="0" w:right="0" w:firstLine="0"/>
              <w:jc w:val="both"/>
            </w:pPr>
            <w:r>
              <w:rPr>
                <w:b/>
                <w:sz w:val="17"/>
              </w:rPr>
              <w:t>Priority</w:t>
            </w:r>
          </w:p>
        </w:tc>
        <w:tc>
          <w:tcPr>
            <w:tcW w:w="3969" w:type="dxa"/>
            <w:tcBorders>
              <w:top w:val="single" w:sz="3" w:space="0" w:color="AAB4BE"/>
              <w:left w:val="single" w:sz="3" w:space="0" w:color="AAB4BE"/>
              <w:bottom w:val="single" w:sz="3" w:space="0" w:color="AAB4BE"/>
              <w:right w:val="single" w:sz="3" w:space="0" w:color="AAB4BE"/>
            </w:tcBorders>
            <w:shd w:val="clear" w:color="auto" w:fill="D9E5F2"/>
            <w:vAlign w:val="center"/>
          </w:tcPr>
          <w:p w14:paraId="4A85BF28" w14:textId="77777777" w:rsidR="007E6FE7" w:rsidRDefault="00000000" w:rsidP="00B77DED">
            <w:pPr>
              <w:spacing w:after="0"/>
              <w:ind w:left="0" w:right="0" w:firstLine="0"/>
              <w:jc w:val="both"/>
            </w:pPr>
            <w:r>
              <w:rPr>
                <w:b/>
                <w:sz w:val="17"/>
              </w:rPr>
              <w:t>Ideas</w:t>
            </w:r>
          </w:p>
        </w:tc>
        <w:tc>
          <w:tcPr>
            <w:tcW w:w="3515" w:type="dxa"/>
            <w:tcBorders>
              <w:top w:val="single" w:sz="3" w:space="0" w:color="AAB4BE"/>
              <w:left w:val="single" w:sz="3" w:space="0" w:color="AAB4BE"/>
              <w:bottom w:val="single" w:sz="3" w:space="0" w:color="AAB4BE"/>
              <w:right w:val="single" w:sz="3" w:space="0" w:color="AAB4BE"/>
            </w:tcBorders>
            <w:shd w:val="clear" w:color="auto" w:fill="D9E5F2"/>
            <w:vAlign w:val="center"/>
          </w:tcPr>
          <w:p w14:paraId="08032BA4" w14:textId="77777777" w:rsidR="007E6FE7" w:rsidRDefault="00000000" w:rsidP="00B77DED">
            <w:pPr>
              <w:spacing w:after="0"/>
              <w:ind w:left="0" w:right="0" w:firstLine="0"/>
              <w:jc w:val="both"/>
            </w:pPr>
            <w:r>
              <w:rPr>
                <w:b/>
                <w:sz w:val="17"/>
              </w:rPr>
              <w:t>Reason</w:t>
            </w:r>
          </w:p>
        </w:tc>
      </w:tr>
      <w:tr w:rsidR="007E6FE7" w14:paraId="2BE9377E" w14:textId="77777777">
        <w:trPr>
          <w:trHeight w:val="680"/>
        </w:trPr>
        <w:tc>
          <w:tcPr>
            <w:tcW w:w="1701" w:type="dxa"/>
            <w:tcBorders>
              <w:top w:val="single" w:sz="3" w:space="0" w:color="AAB4BE"/>
              <w:left w:val="single" w:sz="3" w:space="0" w:color="AAB4BE"/>
              <w:bottom w:val="single" w:sz="3" w:space="0" w:color="AAB4BE"/>
              <w:right w:val="single" w:sz="3" w:space="0" w:color="AAB4BE"/>
            </w:tcBorders>
          </w:tcPr>
          <w:p w14:paraId="3451706D" w14:textId="77777777" w:rsidR="007E6FE7" w:rsidRDefault="00000000" w:rsidP="00B77DED">
            <w:pPr>
              <w:spacing w:after="0"/>
              <w:ind w:left="0" w:right="0" w:firstLine="0"/>
              <w:jc w:val="both"/>
            </w:pPr>
            <w:r>
              <w:rPr>
                <w:sz w:val="17"/>
              </w:rPr>
              <w:t>High</w:t>
            </w:r>
          </w:p>
        </w:tc>
        <w:tc>
          <w:tcPr>
            <w:tcW w:w="3969" w:type="dxa"/>
            <w:tcBorders>
              <w:top w:val="single" w:sz="3" w:space="0" w:color="AAB4BE"/>
              <w:left w:val="single" w:sz="3" w:space="0" w:color="AAB4BE"/>
              <w:bottom w:val="single" w:sz="3" w:space="0" w:color="AAB4BE"/>
              <w:right w:val="single" w:sz="3" w:space="0" w:color="AAB4BE"/>
            </w:tcBorders>
            <w:vAlign w:val="center"/>
          </w:tcPr>
          <w:p w14:paraId="3352D1F3" w14:textId="77777777" w:rsidR="007E6FE7" w:rsidRDefault="00000000" w:rsidP="00B77DED">
            <w:pPr>
              <w:spacing w:after="0"/>
              <w:ind w:left="0" w:right="0" w:firstLine="0"/>
              <w:jc w:val="both"/>
            </w:pPr>
            <w:r>
              <w:rPr>
                <w:sz w:val="17"/>
              </w:rPr>
              <w:t>Incident recording and classification; assignment; Knowledge support; resolution documentation.</w:t>
            </w:r>
          </w:p>
        </w:tc>
        <w:tc>
          <w:tcPr>
            <w:tcW w:w="3515" w:type="dxa"/>
            <w:tcBorders>
              <w:top w:val="single" w:sz="3" w:space="0" w:color="AAB4BE"/>
              <w:left w:val="single" w:sz="3" w:space="0" w:color="AAB4BE"/>
              <w:bottom w:val="single" w:sz="3" w:space="0" w:color="AAB4BE"/>
              <w:right w:val="single" w:sz="3" w:space="0" w:color="AAB4BE"/>
            </w:tcBorders>
            <w:vAlign w:val="center"/>
          </w:tcPr>
          <w:p w14:paraId="0B4D34A4" w14:textId="77777777" w:rsidR="007E6FE7" w:rsidRDefault="00000000" w:rsidP="00B77DED">
            <w:pPr>
              <w:spacing w:after="0"/>
              <w:ind w:left="0" w:right="20" w:firstLine="0"/>
              <w:jc w:val="both"/>
            </w:pPr>
            <w:r>
              <w:rPr>
                <w:sz w:val="17"/>
              </w:rPr>
              <w:t>These are core activities needed to manage incidents consistently.</w:t>
            </w:r>
          </w:p>
        </w:tc>
      </w:tr>
      <w:tr w:rsidR="007E6FE7" w14:paraId="4F0EBE61" w14:textId="77777777">
        <w:trPr>
          <w:trHeight w:val="680"/>
        </w:trPr>
        <w:tc>
          <w:tcPr>
            <w:tcW w:w="1701" w:type="dxa"/>
            <w:tcBorders>
              <w:top w:val="single" w:sz="3" w:space="0" w:color="AAB4BE"/>
              <w:left w:val="single" w:sz="3" w:space="0" w:color="AAB4BE"/>
              <w:bottom w:val="single" w:sz="3" w:space="0" w:color="AAB4BE"/>
              <w:right w:val="single" w:sz="3" w:space="0" w:color="AAB4BE"/>
            </w:tcBorders>
          </w:tcPr>
          <w:p w14:paraId="2D02B44B" w14:textId="77777777" w:rsidR="007E6FE7" w:rsidRDefault="00000000" w:rsidP="00B77DED">
            <w:pPr>
              <w:spacing w:after="0"/>
              <w:ind w:left="0" w:right="0" w:firstLine="0"/>
              <w:jc w:val="both"/>
            </w:pPr>
            <w:r>
              <w:rPr>
                <w:sz w:val="17"/>
              </w:rPr>
              <w:t>Medium</w:t>
            </w:r>
          </w:p>
        </w:tc>
        <w:tc>
          <w:tcPr>
            <w:tcW w:w="3969" w:type="dxa"/>
            <w:tcBorders>
              <w:top w:val="single" w:sz="3" w:space="0" w:color="AAB4BE"/>
              <w:left w:val="single" w:sz="3" w:space="0" w:color="AAB4BE"/>
              <w:bottom w:val="single" w:sz="3" w:space="0" w:color="AAB4BE"/>
              <w:right w:val="single" w:sz="3" w:space="0" w:color="AAB4BE"/>
            </w:tcBorders>
            <w:vAlign w:val="center"/>
          </w:tcPr>
          <w:p w14:paraId="5BCB5AB7" w14:textId="77777777" w:rsidR="007E6FE7" w:rsidRDefault="00000000" w:rsidP="00B77DED">
            <w:pPr>
              <w:spacing w:after="0"/>
              <w:ind w:left="0" w:right="0" w:firstLine="0"/>
              <w:jc w:val="both"/>
            </w:pPr>
            <w:r>
              <w:rPr>
                <w:sz w:val="17"/>
              </w:rPr>
              <w:t>Related change requests; parent–child incident relationships; SLA and related-record tracking.</w:t>
            </w:r>
          </w:p>
        </w:tc>
        <w:tc>
          <w:tcPr>
            <w:tcW w:w="3515" w:type="dxa"/>
            <w:tcBorders>
              <w:top w:val="single" w:sz="3" w:space="0" w:color="AAB4BE"/>
              <w:left w:val="single" w:sz="3" w:space="0" w:color="AAB4BE"/>
              <w:bottom w:val="single" w:sz="3" w:space="0" w:color="AAB4BE"/>
              <w:right w:val="single" w:sz="3" w:space="0" w:color="AAB4BE"/>
            </w:tcBorders>
            <w:vAlign w:val="center"/>
          </w:tcPr>
          <w:p w14:paraId="23640489" w14:textId="77777777" w:rsidR="007E6FE7" w:rsidRDefault="00000000" w:rsidP="00B77DED">
            <w:pPr>
              <w:spacing w:after="0"/>
              <w:ind w:left="0" w:right="0" w:firstLine="0"/>
              <w:jc w:val="both"/>
            </w:pPr>
            <w:r>
              <w:rPr>
                <w:sz w:val="17"/>
              </w:rPr>
              <w:t>These support coordination, traceability, and monitoring where configured.</w:t>
            </w:r>
          </w:p>
        </w:tc>
      </w:tr>
      <w:tr w:rsidR="007E6FE7" w14:paraId="3E1DAAAB" w14:textId="77777777">
        <w:trPr>
          <w:trHeight w:val="680"/>
        </w:trPr>
        <w:tc>
          <w:tcPr>
            <w:tcW w:w="1701" w:type="dxa"/>
            <w:tcBorders>
              <w:top w:val="single" w:sz="3" w:space="0" w:color="AAB4BE"/>
              <w:left w:val="single" w:sz="3" w:space="0" w:color="AAB4BE"/>
              <w:bottom w:val="single" w:sz="3" w:space="0" w:color="AAB4BE"/>
              <w:right w:val="single" w:sz="3" w:space="0" w:color="AAB4BE"/>
            </w:tcBorders>
            <w:vAlign w:val="center"/>
          </w:tcPr>
          <w:p w14:paraId="03AA7B70" w14:textId="77777777" w:rsidR="007E6FE7" w:rsidRDefault="00000000" w:rsidP="00B77DED">
            <w:pPr>
              <w:spacing w:after="0"/>
              <w:ind w:left="0" w:right="0" w:firstLine="0"/>
              <w:jc w:val="both"/>
            </w:pPr>
            <w:r>
              <w:rPr>
                <w:sz w:val="17"/>
              </w:rPr>
              <w:t>Future enhancement</w:t>
            </w:r>
          </w:p>
        </w:tc>
        <w:tc>
          <w:tcPr>
            <w:tcW w:w="3969" w:type="dxa"/>
            <w:tcBorders>
              <w:top w:val="single" w:sz="3" w:space="0" w:color="AAB4BE"/>
              <w:left w:val="single" w:sz="3" w:space="0" w:color="AAB4BE"/>
              <w:bottom w:val="single" w:sz="3" w:space="0" w:color="AAB4BE"/>
              <w:right w:val="single" w:sz="3" w:space="0" w:color="AAB4BE"/>
            </w:tcBorders>
          </w:tcPr>
          <w:p w14:paraId="3E4E3641" w14:textId="77777777" w:rsidR="007E6FE7" w:rsidRDefault="00000000" w:rsidP="00B77DED">
            <w:pPr>
              <w:spacing w:after="0"/>
              <w:ind w:left="0" w:right="0" w:firstLine="0"/>
              <w:jc w:val="both"/>
            </w:pPr>
            <w:r>
              <w:rPr>
                <w:sz w:val="17"/>
              </w:rPr>
              <w:t>Additional dashboards and advanced analytics.</w:t>
            </w:r>
          </w:p>
        </w:tc>
        <w:tc>
          <w:tcPr>
            <w:tcW w:w="3515" w:type="dxa"/>
            <w:tcBorders>
              <w:top w:val="single" w:sz="3" w:space="0" w:color="AAB4BE"/>
              <w:left w:val="single" w:sz="3" w:space="0" w:color="AAB4BE"/>
              <w:bottom w:val="single" w:sz="3" w:space="0" w:color="AAB4BE"/>
              <w:right w:val="single" w:sz="3" w:space="0" w:color="AAB4BE"/>
            </w:tcBorders>
            <w:vAlign w:val="center"/>
          </w:tcPr>
          <w:p w14:paraId="598428CA" w14:textId="77777777" w:rsidR="007E6FE7" w:rsidRDefault="00000000" w:rsidP="00B77DED">
            <w:pPr>
              <w:spacing w:after="0"/>
              <w:ind w:left="0" w:right="0" w:firstLine="0"/>
              <w:jc w:val="both"/>
            </w:pPr>
            <w:r>
              <w:rPr>
                <w:sz w:val="17"/>
              </w:rPr>
              <w:t>These can extend reporting if they are not part of the current implementation.</w:t>
            </w:r>
          </w:p>
        </w:tc>
      </w:tr>
    </w:tbl>
    <w:p w14:paraId="1329416F" w14:textId="77777777" w:rsidR="007E6FE7" w:rsidRDefault="00000000" w:rsidP="00B77DED">
      <w:pPr>
        <w:pStyle w:val="Heading2"/>
        <w:ind w:left="228"/>
        <w:jc w:val="both"/>
      </w:pPr>
      <w:r>
        <w:t>Selected Idea</w:t>
      </w:r>
    </w:p>
    <w:p w14:paraId="30BFF499" w14:textId="77777777" w:rsidR="007E6FE7" w:rsidRDefault="00000000" w:rsidP="00B77DED">
      <w:pPr>
        <w:spacing w:after="121"/>
        <w:ind w:left="228" w:right="174"/>
        <w:jc w:val="both"/>
      </w:pPr>
      <w:r>
        <w:t>A ServiceNow-based incident lifecycle process that supports structured incident recording, classification, assignment, investigation, knowledge use, related change and incident records, resolution documentation, and SLA tracking.</w:t>
      </w:r>
    </w:p>
    <w:p w14:paraId="4F17710A" w14:textId="3270F8F1" w:rsidR="007E6FE7" w:rsidRDefault="007E6FE7" w:rsidP="00B77DED">
      <w:pPr>
        <w:spacing w:after="7882" w:line="270" w:lineRule="auto"/>
        <w:ind w:left="233" w:right="0" w:firstLine="0"/>
        <w:jc w:val="both"/>
      </w:pPr>
    </w:p>
    <w:p w14:paraId="49BBA678" w14:textId="006041EB" w:rsidR="007E6FE7" w:rsidRDefault="007E6FE7" w:rsidP="00B77DED">
      <w:pPr>
        <w:tabs>
          <w:tab w:val="right" w:pos="9638"/>
        </w:tabs>
        <w:spacing w:after="239"/>
        <w:ind w:right="-15"/>
        <w:jc w:val="both"/>
      </w:pPr>
    </w:p>
    <w:sectPr w:rsidR="007E6FE7">
      <w:pgSz w:w="11906" w:h="16838"/>
      <w:pgMar w:top="1194" w:right="1134" w:bottom="47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E1136"/>
    <w:multiLevelType w:val="hybridMultilevel"/>
    <w:tmpl w:val="C2A026D0"/>
    <w:lvl w:ilvl="0" w:tplc="63541096">
      <w:start w:val="1"/>
      <w:numFmt w:val="bullet"/>
      <w:lvlText w:val="•"/>
      <w:lvlJc w:val="left"/>
      <w:pPr>
        <w:ind w:left="3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6E64802">
      <w:start w:val="1"/>
      <w:numFmt w:val="bullet"/>
      <w:lvlText w:val="o"/>
      <w:lvlJc w:val="left"/>
      <w:pPr>
        <w:ind w:left="131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1B0D77A">
      <w:start w:val="1"/>
      <w:numFmt w:val="bullet"/>
      <w:lvlText w:val="▪"/>
      <w:lvlJc w:val="left"/>
      <w:pPr>
        <w:ind w:left="203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500D902">
      <w:start w:val="1"/>
      <w:numFmt w:val="bullet"/>
      <w:lvlText w:val="•"/>
      <w:lvlJc w:val="left"/>
      <w:pPr>
        <w:ind w:left="275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3307C38">
      <w:start w:val="1"/>
      <w:numFmt w:val="bullet"/>
      <w:lvlText w:val="o"/>
      <w:lvlJc w:val="left"/>
      <w:pPr>
        <w:ind w:left="347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0FAA8EA">
      <w:start w:val="1"/>
      <w:numFmt w:val="bullet"/>
      <w:lvlText w:val="▪"/>
      <w:lvlJc w:val="left"/>
      <w:pPr>
        <w:ind w:left="419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1685118">
      <w:start w:val="1"/>
      <w:numFmt w:val="bullet"/>
      <w:lvlText w:val="•"/>
      <w:lvlJc w:val="left"/>
      <w:pPr>
        <w:ind w:left="491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54CA028">
      <w:start w:val="1"/>
      <w:numFmt w:val="bullet"/>
      <w:lvlText w:val="o"/>
      <w:lvlJc w:val="left"/>
      <w:pPr>
        <w:ind w:left="563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1EC33EC">
      <w:start w:val="1"/>
      <w:numFmt w:val="bullet"/>
      <w:lvlText w:val="▪"/>
      <w:lvlJc w:val="left"/>
      <w:pPr>
        <w:ind w:left="635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6E65A9D"/>
    <w:multiLevelType w:val="hybridMultilevel"/>
    <w:tmpl w:val="F032320E"/>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2" w15:restartNumberingAfterBreak="0">
    <w:nsid w:val="3AA0559A"/>
    <w:multiLevelType w:val="hybridMultilevel"/>
    <w:tmpl w:val="97B6C7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EA7746"/>
    <w:multiLevelType w:val="hybridMultilevel"/>
    <w:tmpl w:val="F314F250"/>
    <w:lvl w:ilvl="0" w:tplc="40090001">
      <w:start w:val="1"/>
      <w:numFmt w:val="bullet"/>
      <w:lvlText w:val=""/>
      <w:lvlJc w:val="left"/>
      <w:pPr>
        <w:ind w:left="953" w:hanging="360"/>
      </w:pPr>
      <w:rPr>
        <w:rFonts w:ascii="Symbol" w:hAnsi="Symbol" w:hint="default"/>
      </w:rPr>
    </w:lvl>
    <w:lvl w:ilvl="1" w:tplc="40090003" w:tentative="1">
      <w:start w:val="1"/>
      <w:numFmt w:val="bullet"/>
      <w:lvlText w:val="o"/>
      <w:lvlJc w:val="left"/>
      <w:pPr>
        <w:ind w:left="1673" w:hanging="360"/>
      </w:pPr>
      <w:rPr>
        <w:rFonts w:ascii="Courier New" w:hAnsi="Courier New" w:cs="Courier New" w:hint="default"/>
      </w:rPr>
    </w:lvl>
    <w:lvl w:ilvl="2" w:tplc="40090005" w:tentative="1">
      <w:start w:val="1"/>
      <w:numFmt w:val="bullet"/>
      <w:lvlText w:val=""/>
      <w:lvlJc w:val="left"/>
      <w:pPr>
        <w:ind w:left="2393" w:hanging="360"/>
      </w:pPr>
      <w:rPr>
        <w:rFonts w:ascii="Wingdings" w:hAnsi="Wingdings" w:hint="default"/>
      </w:rPr>
    </w:lvl>
    <w:lvl w:ilvl="3" w:tplc="40090001" w:tentative="1">
      <w:start w:val="1"/>
      <w:numFmt w:val="bullet"/>
      <w:lvlText w:val=""/>
      <w:lvlJc w:val="left"/>
      <w:pPr>
        <w:ind w:left="3113" w:hanging="360"/>
      </w:pPr>
      <w:rPr>
        <w:rFonts w:ascii="Symbol" w:hAnsi="Symbol" w:hint="default"/>
      </w:rPr>
    </w:lvl>
    <w:lvl w:ilvl="4" w:tplc="40090003" w:tentative="1">
      <w:start w:val="1"/>
      <w:numFmt w:val="bullet"/>
      <w:lvlText w:val="o"/>
      <w:lvlJc w:val="left"/>
      <w:pPr>
        <w:ind w:left="3833" w:hanging="360"/>
      </w:pPr>
      <w:rPr>
        <w:rFonts w:ascii="Courier New" w:hAnsi="Courier New" w:cs="Courier New" w:hint="default"/>
      </w:rPr>
    </w:lvl>
    <w:lvl w:ilvl="5" w:tplc="40090005" w:tentative="1">
      <w:start w:val="1"/>
      <w:numFmt w:val="bullet"/>
      <w:lvlText w:val=""/>
      <w:lvlJc w:val="left"/>
      <w:pPr>
        <w:ind w:left="4553" w:hanging="360"/>
      </w:pPr>
      <w:rPr>
        <w:rFonts w:ascii="Wingdings" w:hAnsi="Wingdings" w:hint="default"/>
      </w:rPr>
    </w:lvl>
    <w:lvl w:ilvl="6" w:tplc="40090001" w:tentative="1">
      <w:start w:val="1"/>
      <w:numFmt w:val="bullet"/>
      <w:lvlText w:val=""/>
      <w:lvlJc w:val="left"/>
      <w:pPr>
        <w:ind w:left="5273" w:hanging="360"/>
      </w:pPr>
      <w:rPr>
        <w:rFonts w:ascii="Symbol" w:hAnsi="Symbol" w:hint="default"/>
      </w:rPr>
    </w:lvl>
    <w:lvl w:ilvl="7" w:tplc="40090003" w:tentative="1">
      <w:start w:val="1"/>
      <w:numFmt w:val="bullet"/>
      <w:lvlText w:val="o"/>
      <w:lvlJc w:val="left"/>
      <w:pPr>
        <w:ind w:left="5993" w:hanging="360"/>
      </w:pPr>
      <w:rPr>
        <w:rFonts w:ascii="Courier New" w:hAnsi="Courier New" w:cs="Courier New" w:hint="default"/>
      </w:rPr>
    </w:lvl>
    <w:lvl w:ilvl="8" w:tplc="40090005" w:tentative="1">
      <w:start w:val="1"/>
      <w:numFmt w:val="bullet"/>
      <w:lvlText w:val=""/>
      <w:lvlJc w:val="left"/>
      <w:pPr>
        <w:ind w:left="6713" w:hanging="360"/>
      </w:pPr>
      <w:rPr>
        <w:rFonts w:ascii="Wingdings" w:hAnsi="Wingdings" w:hint="default"/>
      </w:rPr>
    </w:lvl>
  </w:abstractNum>
  <w:abstractNum w:abstractNumId="4" w15:restartNumberingAfterBreak="0">
    <w:nsid w:val="676130E8"/>
    <w:multiLevelType w:val="hybridMultilevel"/>
    <w:tmpl w:val="EAB82032"/>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5" w15:restartNumberingAfterBreak="0">
    <w:nsid w:val="78A06A44"/>
    <w:multiLevelType w:val="hybridMultilevel"/>
    <w:tmpl w:val="06B6C5E4"/>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6" w15:restartNumberingAfterBreak="0">
    <w:nsid w:val="7B7102BB"/>
    <w:multiLevelType w:val="hybridMultilevel"/>
    <w:tmpl w:val="68EA33B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5123671">
    <w:abstractNumId w:val="0"/>
  </w:num>
  <w:num w:numId="2" w16cid:durableId="957488547">
    <w:abstractNumId w:val="2"/>
  </w:num>
  <w:num w:numId="3" w16cid:durableId="1736472017">
    <w:abstractNumId w:val="6"/>
  </w:num>
  <w:num w:numId="4" w16cid:durableId="1354456475">
    <w:abstractNumId w:val="3"/>
  </w:num>
  <w:num w:numId="5" w16cid:durableId="1514805197">
    <w:abstractNumId w:val="1"/>
  </w:num>
  <w:num w:numId="6" w16cid:durableId="1128087498">
    <w:abstractNumId w:val="4"/>
  </w:num>
  <w:num w:numId="7" w16cid:durableId="1782874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FE7"/>
    <w:rsid w:val="00490FFD"/>
    <w:rsid w:val="00780923"/>
    <w:rsid w:val="007E6FE7"/>
    <w:rsid w:val="00905A59"/>
    <w:rsid w:val="00B77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18C3A"/>
  <w15:docId w15:val="{FDBEB467-B127-4243-91D5-71F698EF3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59" w:lineRule="auto"/>
      <w:ind w:left="243" w:right="112"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97" w:line="259" w:lineRule="auto"/>
      <w:ind w:left="243" w:hanging="10"/>
      <w:outlineLvl w:val="0"/>
    </w:pPr>
    <w:rPr>
      <w:rFonts w:ascii="Arial" w:eastAsia="Arial" w:hAnsi="Arial" w:cs="Arial"/>
      <w:b/>
      <w:color w:val="17365D"/>
      <w:sz w:val="22"/>
    </w:rPr>
  </w:style>
  <w:style w:type="paragraph" w:styleId="Heading2">
    <w:name w:val="heading 2"/>
    <w:next w:val="Normal"/>
    <w:link w:val="Heading2Char"/>
    <w:uiPriority w:val="9"/>
    <w:unhideWhenUsed/>
    <w:qFormat/>
    <w:pPr>
      <w:keepNext/>
      <w:keepLines/>
      <w:spacing w:after="139" w:line="265" w:lineRule="auto"/>
      <w:ind w:left="243" w:hanging="10"/>
      <w:outlineLvl w:val="1"/>
    </w:pPr>
    <w:rPr>
      <w:rFonts w:ascii="Arial" w:eastAsia="Arial" w:hAnsi="Arial" w:cs="Arial"/>
      <w:b/>
      <w:color w:val="000000"/>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19"/>
    </w:rPr>
  </w:style>
  <w:style w:type="character" w:customStyle="1" w:styleId="Heading1Char">
    <w:name w:val="Heading 1 Char"/>
    <w:link w:val="Heading1"/>
    <w:rPr>
      <w:rFonts w:ascii="Arial" w:eastAsia="Arial" w:hAnsi="Arial" w:cs="Arial"/>
      <w:b/>
      <w:color w:val="17365D"/>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77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varanasi triveni</dc:creator>
  <cp:keywords/>
  <cp:lastModifiedBy>varanasi triveni</cp:lastModifiedBy>
  <cp:revision>3</cp:revision>
  <dcterms:created xsi:type="dcterms:W3CDTF">2026-10-21T01:53:00Z</dcterms:created>
  <dcterms:modified xsi:type="dcterms:W3CDTF">2026-10-21T01:56:00Z</dcterms:modified>
</cp:coreProperties>
</file>