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4"/>
        <w:jc w:val="center"/>
      </w:pPr>
      <w:r>
        <w:rPr>
          <w:rFonts w:ascii="Arial" w:cs="Arial" w:eastAsia="Arial" w:hAnsi="Arial"/>
          <w:b/>
          <w:bCs/>
          <w:sz w:val="28"/>
          <w:szCs w:val="28"/>
        </w:rPr>
        <w:t xml:space="preserve">Project Design Phase-II</w:t>
      </w:r>
    </w:p>
    <w:p>
      <w:pPr>
        <w:spacing w:after="200" w:line="264"/>
        <w:jc w:val="center"/>
      </w:pPr>
      <w:r>
        <w:rPr>
          <w:rFonts w:ascii="Arial" w:cs="Arial" w:eastAsia="Arial" w:hAnsi="Arial"/>
          <w:b/>
          <w:bCs/>
          <w:sz w:val="28"/>
          <w:szCs w:val="28"/>
        </w:rPr>
        <w:t xml:space="preserve">Data Flow Diagram &amp; User Stories</w:t>
      </w:r>
    </w:p>
    <w:tbl>
      <w:tblPr>
        <w:tblW w:type="dxa" w:w="104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Date</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21 October 2026</w:t>
            </w:r>
          </w:p>
        </w:tc>
      </w:tr>
      <w:t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Team ID</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
            </w:r>
          </w:p>
        </w:tc>
      </w:tr>
      <w:t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Project Name</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Incident Lifecycle Automation in ServiceNow</w:t>
            </w:r>
          </w:p>
        </w:tc>
      </w:tr>
      <w:t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Maximum Marks</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20"/>
                <w:szCs w:val="20"/>
              </w:rPr>
              <w:t xml:space="preserve">4 Marks</w:t>
            </w:r>
          </w:p>
        </w:tc>
      </w:tr>
    </w:tbl>
    <w:p>
      <w:pPr>
        <w:spacing w:after="140" w:line="264"/>
      </w:pPr>
      <w:r>
        <w:rPr>
          <w:rFonts w:ascii="Arial" w:cs="Arial" w:eastAsia="Arial" w:hAnsi="Arial"/>
          <w:sz w:val="22"/>
          <w:szCs w:val="22"/>
        </w:rPr>
        <w:t xml:space="preserve"/>
      </w:r>
    </w:p>
    <w:p>
      <w:pPr>
        <w:spacing w:after="80" w:line="264"/>
      </w:pPr>
      <w:r>
        <w:rPr>
          <w:rFonts w:ascii="Arial" w:cs="Arial" w:eastAsia="Arial" w:hAnsi="Arial"/>
          <w:b/>
          <w:bCs/>
          <w:sz w:val="22"/>
          <w:szCs w:val="22"/>
        </w:rPr>
        <w:t xml:space="preserve">Data Flow Diagrams:</w:t>
      </w:r>
    </w:p>
    <w:p>
      <w:pPr>
        <w:spacing w:after="120" w:line="264"/>
        <w:jc w:val="both"/>
      </w:pPr>
      <w:r>
        <w:rPr>
          <w:rFonts w:ascii="Arial" w:cs="Arial" w:eastAsia="Arial" w:hAnsi="Arial"/>
          <w:sz w:val="22"/>
          <w:szCs w:val="22"/>
        </w:rPr>
        <w:t xml:space="preserve">A Data Flow Diagram (DFD) is a visual representation of how information moves through a system. It shows who or what sends data into the system, which processes change that data, where the data is stored and what is sent back out. For this project, the DFD shows how an incident moves through ServiceNow from the moment it is reported until it is closed.</w:t>
      </w:r>
    </w:p>
    <w:p>
      <w:pPr>
        <w:keepNext/>
        <w:spacing w:after="40" w:line="264"/>
      </w:pPr>
      <w:r>
        <w:rPr>
          <w:rFonts w:ascii="Arial" w:cs="Arial" w:eastAsia="Arial" w:hAnsi="Arial"/>
          <w:b/>
          <w:bCs/>
          <w:sz w:val="22"/>
          <w:szCs w:val="22"/>
        </w:rPr>
        <w:t xml:space="preserve">Example: (Simplified)</w:t>
      </w:r>
    </w:p>
    <w:p>
      <w:pPr>
        <w:spacing w:after="80"/>
        <w:jc w:val="center"/>
      </w:pPr>
      <w:r>
        <w:drawing>
          <wp:inline distT="0" distB="0" distL="0" distR="0">
            <wp:extent cx="8858250" cy="1285875"/>
            <wp:effectExtent t="0" r="0" b="0" l="0"/>
            <wp:docPr id="1" name="d"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858250" cy="1285875"/>
                    </a:xfrm>
                    <a:prstGeom prst="rect">
                      <a:avLst/>
                    </a:prstGeom>
                  </pic:spPr>
                </pic:pic>
              </a:graphicData>
            </a:graphic>
          </wp:inline>
        </w:drawing>
      </w:r>
    </w:p>
    <w:p>
      <w:pPr>
        <w:pStyle w:val="ListParagraph"/>
        <w:numPr>
          <w:ilvl w:val="0"/>
          <w:numId w:val="2"/>
        </w:numPr>
        <w:spacing w:after="50" w:line="250"/>
      </w:pPr>
      <w:r>
        <w:rPr>
          <w:rFonts w:ascii="Arial" w:cs="Arial" w:eastAsia="Arial" w:hAnsi="Arial"/>
          <w:sz w:val="20"/>
          <w:szCs w:val="20"/>
        </w:rPr>
        <w:t xml:space="preserve">The employee reports an IT issue and the service desk agent records it in ServiceNow.</w:t>
      </w:r>
    </w:p>
    <w:p>
      <w:pPr>
        <w:pStyle w:val="ListParagraph"/>
        <w:numPr>
          <w:ilvl w:val="0"/>
          <w:numId w:val="2"/>
        </w:numPr>
        <w:spacing w:after="50" w:line="250"/>
      </w:pPr>
      <w:r>
        <w:rPr>
          <w:rFonts w:ascii="Arial" w:cs="Arial" w:eastAsia="Arial" w:hAnsi="Arial"/>
          <w:sz w:val="20"/>
          <w:szCs w:val="20"/>
        </w:rPr>
        <w:t xml:space="preserve">The agent selects the category, urgency, service and configuration item, and assigns the incident to a support group.</w:t>
      </w:r>
    </w:p>
    <w:p>
      <w:pPr>
        <w:pStyle w:val="ListParagraph"/>
        <w:numPr>
          <w:ilvl w:val="0"/>
          <w:numId w:val="2"/>
        </w:numPr>
        <w:spacing w:after="50" w:line="250"/>
      </w:pPr>
      <w:r>
        <w:rPr>
          <w:rFonts w:ascii="Arial" w:cs="Arial" w:eastAsia="Arial" w:hAnsi="Arial"/>
          <w:sz w:val="20"/>
          <w:szCs w:val="20"/>
        </w:rPr>
        <w:t xml:space="preserve">The support group investigates the incident using knowledge articles, related incidents and work notes.</w:t>
      </w:r>
    </w:p>
    <w:p>
      <w:pPr>
        <w:pStyle w:val="ListParagraph"/>
        <w:numPr>
          <w:ilvl w:val="0"/>
          <w:numId w:val="2"/>
        </w:numPr>
        <w:spacing w:after="50" w:line="250"/>
      </w:pPr>
      <w:r>
        <w:rPr>
          <w:rFonts w:ascii="Arial" w:cs="Arial" w:eastAsia="Arial" w:hAnsi="Arial"/>
          <w:sz w:val="20"/>
          <w:szCs w:val="20"/>
        </w:rPr>
        <w:t xml:space="preserve">A change request is linked if a change is needed to fix the issue.</w:t>
      </w:r>
    </w:p>
    <w:p>
      <w:pPr>
        <w:pStyle w:val="ListParagraph"/>
        <w:numPr>
          <w:ilvl w:val="0"/>
          <w:numId w:val="2"/>
        </w:numPr>
        <w:spacing w:after="50" w:line="250"/>
      </w:pPr>
      <w:r>
        <w:rPr>
          <w:rFonts w:ascii="Arial" w:cs="Arial" w:eastAsia="Arial" w:hAnsi="Arial"/>
          <w:sz w:val="20"/>
          <w:szCs w:val="20"/>
        </w:rPr>
        <w:t xml:space="preserve">The cause, workaround and resolution notes are recorded and SLA status is tracked.</w:t>
      </w:r>
    </w:p>
    <w:p>
      <w:pPr>
        <w:pStyle w:val="ListParagraph"/>
        <w:numPr>
          <w:ilvl w:val="0"/>
          <w:numId w:val="2"/>
        </w:numPr>
        <w:spacing w:after="50" w:line="250"/>
      </w:pPr>
      <w:r>
        <w:rPr>
          <w:rFonts w:ascii="Arial" w:cs="Arial" w:eastAsia="Arial" w:hAnsi="Arial"/>
          <w:sz w:val="20"/>
          <w:szCs w:val="20"/>
        </w:rPr>
        <w:t xml:space="preserve">The incident is closed and the employee is notified.</w:t>
      </w:r>
    </w:p>
    <w:p>
      <w:pPr>
        <w:spacing w:after="60" w:line="264"/>
      </w:pPr>
      <w:r>
        <w:rPr>
          <w:rFonts w:ascii="Arial" w:cs="Arial" w:eastAsia="Arial" w:hAnsi="Arial"/>
          <w:sz w:val="22"/>
          <w:szCs w:val="22"/>
        </w:rPr>
        <w:t xml:space="preserve"/>
      </w:r>
    </w:p>
    <w:p>
      <w:pPr>
        <w:keepNext/>
        <w:spacing w:after="60" w:line="264"/>
      </w:pPr>
      <w:r>
        <w:rPr>
          <w:rFonts w:ascii="Arial" w:cs="Arial" w:eastAsia="Arial" w:hAnsi="Arial"/>
          <w:b/>
          <w:bCs/>
          <w:sz w:val="22"/>
          <w:szCs w:val="22"/>
        </w:rPr>
        <w:t xml:space="preserve">DFD Components: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11970"/>
      </w:tblGrid>
      <w:tr>
        <w:trPr>
          <w:cantSplit/>
        </w:trPr>
        <w:tc>
          <w:tcPr>
            <w:tcW w:type="dxa" w:w="2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External entities</w:t>
            </w:r>
          </w:p>
        </w:tc>
        <w:tc>
          <w:tcPr>
            <w:tcW w:type="dxa" w:w="11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Employee (Caller), Service Desk Agent, Resolver Support Group and Service Desk Manager</w:t>
            </w:r>
          </w:p>
        </w:tc>
      </w:tr>
      <w:tr>
        <w:trPr>
          <w:cantSplit/>
        </w:trPr>
        <w:tc>
          <w:tcPr>
            <w:tcW w:type="dxa" w:w="2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Processes</w:t>
            </w:r>
          </w:p>
        </w:tc>
        <w:tc>
          <w:tcPr>
            <w:tcW w:type="dxa" w:w="11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1 Record &amp; Classify Incident, 2 Assign Incident, 3 Investigate Incident, 4 Resolve &amp; Close Incident, 5 Track SLA</w:t>
            </w:r>
          </w:p>
        </w:tc>
      </w:tr>
      <w:tr>
        <w:trPr>
          <w:cantSplit/>
        </w:trPr>
        <w:tc>
          <w:tcPr>
            <w:tcW w:type="dxa" w:w="2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Data stores</w:t>
            </w:r>
          </w:p>
        </w:tc>
        <w:tc>
          <w:tcPr>
            <w:tcW w:type="dxa" w:w="1197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D1 Incident Records, D2 Knowledge Base, D3 Change Requests, D4 SLA Records</w:t>
            </w:r>
          </w:p>
        </w:tc>
      </w:tr>
    </w:tbl>
    <w:p>
      <w:pPr>
        <w:pageBreakBefore/>
        <w:spacing w:after="60" w:line="264"/>
      </w:pPr>
      <w:r>
        <w:rPr>
          <w:rFonts w:ascii="Arial" w:cs="Arial" w:eastAsia="Arial" w:hAnsi="Arial"/>
          <w:b/>
          <w:bCs/>
          <w:sz w:val="22"/>
          <w:szCs w:val="22"/>
        </w:rPr>
        <w:t xml:space="preserve">DFD Level 0: Incident Lifecycle Automation in ServiceNow</w:t>
      </w:r>
    </w:p>
    <w:p>
      <w:pPr>
        <w:spacing w:after="80"/>
        <w:jc w:val="center"/>
      </w:pPr>
      <w:r>
        <w:drawing>
          <wp:inline distT="0" distB="0" distL="0" distR="0">
            <wp:extent cx="8572500" cy="5353050"/>
            <wp:effectExtent t="0" r="0" b="0" l="0"/>
            <wp:docPr id="1" name="d"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5353050"/>
                    </a:xfrm>
                    <a:prstGeom prst="rect">
                      <a:avLst/>
                    </a:prstGeom>
                  </pic:spPr>
                </pic:pic>
              </a:graphicData>
            </a:graphic>
          </wp:inline>
        </w:drawing>
      </w:r>
    </w:p>
    <w:p>
      <w:pPr>
        <w:pageBreakBefore/>
        <w:spacing w:after="60" w:line="264"/>
      </w:pPr>
      <w:r>
        <w:rPr>
          <w:rFonts w:ascii="Arial" w:cs="Arial" w:eastAsia="Arial" w:hAnsi="Arial"/>
          <w:b/>
          <w:bCs/>
          <w:sz w:val="24"/>
          <w:szCs w:val="24"/>
        </w:rPr>
        <w:t xml:space="preserve">User Stories</w:t>
      </w:r>
    </w:p>
    <w:p>
      <w:pPr>
        <w:spacing w:after="140" w:line="264"/>
      </w:pPr>
      <w:r>
        <w:rPr>
          <w:rFonts w:ascii="Arial" w:cs="Arial" w:eastAsia="Arial" w:hAnsi="Arial"/>
          <w:sz w:val="22"/>
          <w:szCs w:val="22"/>
        </w:rPr>
        <w:t xml:space="preserve">The table below lists the user stories for the incident lifecycle, grouped by user type and functional requirement (epic).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950"/>
        <w:gridCol w:w="4600"/>
        <w:gridCol w:w="3720"/>
        <w:gridCol w:w="1000"/>
        <w:gridCol w:w="105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User Type</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Functional Requirement (Epic)</w:t>
            </w:r>
          </w:p>
        </w:tc>
        <w:tc>
          <w:tcPr>
            <w:tcW w:type="dxa" w:w="95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User Story Number</w:t>
            </w:r>
          </w:p>
        </w:tc>
        <w:tc>
          <w:tcPr>
            <w:tcW w:type="dxa" w:w="4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User Story / Task</w:t>
            </w:r>
          </w:p>
        </w:tc>
        <w:tc>
          <w:tcPr>
            <w:tcW w:type="dxa" w:w="37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Acceptance criteria</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Priority</w:t>
            </w:r>
          </w:p>
        </w:tc>
        <w:tc>
          <w:tcPr>
            <w:tcW w:type="dxa" w:w="105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Release</w:t>
            </w:r>
          </w:p>
        </w:tc>
      </w:tr>
      <w:tr>
        <w:trPr>
          <w:cantSplit/>
        </w:trPr>
        <w:tc>
          <w:tcPr>
            <w:tcW w:type="dxa" w:w="150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Employee (Caller)</w:t>
            </w: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Incident Recording</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employee, I can report an IT issue by describing the problem and my contact details.</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incident is created and I receive an incident number.</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USN-2</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employee, I receive a confirmation once my incident is recorded.</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I receive a notification with the incident number and short description.</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Incident Tracking</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USN-3</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employee, I can check the status of my incident.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I can see the current state and the assigned support group.</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USN-4</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employee, I am notified when my incident is resolved.</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I receive a message with the resolution summary.</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tcW w:type="dxa" w:w="150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Service Desk Agent</w:t>
            </w: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Classification</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USN-5</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set the category, subcategory, urgency, service and configuration item on an incident.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incident saves with all classification fields filled in and visible.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USN-6</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set the impact and urgency so that the priority is calculated.</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priority updates according to the selected impact and urgency.</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Assignment</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USN-7</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assign an incident to the correct support group.</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incident shows the assignment group and appears in that group’s queue.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USN-8</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reassign an incident when it was routed to the wrong group.</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reassignment is saved with a note and the new group can see the incident.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Investigation</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USN-9</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search knowledge articles from the incident.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Matching articles are listed and I can attach one to the incident.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USN-10</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add work notes to record the troubleshooting steps.</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Notes are saved with the time and author and shown in the activity history.</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USN-11</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agent, I can link related incidents to a parent incident.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Child incidents show the parent and the parent shows its child incidents.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tcW w:type="dxa" w:w="150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Support Group Member</w:t>
            </w: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Resolution</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USN-12</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support group member, I can see the incidents assigned to my group.</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group queue lists the incidents with their priority and state.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USN-13</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support group member, I can update the state and add work notes while investigating.</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state and notes are saved and visible to the agent.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USN-14</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support group member, I can record the cause, workaround and resolution notes before resolving.</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incident cannot be resolved until the resolution details are entered.</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75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Change Handling</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USN-15</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support group member, I can create or link a change request when a change is needed to fix the incident.</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change request appears in the related records of the incident.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Sprint-3</w:t>
            </w:r>
          </w:p>
        </w:tc>
      </w:tr>
      <w:tr>
        <w:trPr>
          <w:cantSplit/>
        </w:trPr>
        <w:tc>
          <w:tcPr>
            <w:tcW w:type="dxa" w:w="150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Service Desk Manager</w:t>
            </w: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SLA Monitoring</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USN-16</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manager, I can view the SLA status of open incidents.</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SLA progress and breach status are shown for each incident.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USN-17</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manager, I am alerted when an SLA is close to breaching.</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An alert is sent when the SLA passes its warning point.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tcW w:type="dxa" w:w="175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Reporting</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USN-18</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 manager, I can view reports of incidents by category, priority and state.</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report shows incident counts and can be filtered.</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Low</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Sprint-3</w:t>
            </w:r>
          </w:p>
        </w:tc>
      </w:tr>
      <w:tr>
        <w:trPr>
          <w:cantSplit/>
        </w:trPr>
        <w:tc>
          <w:tcPr>
            <w:tcW w:type="dxa" w:w="150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b/>
                <w:bCs/>
                <w:sz w:val="19"/>
                <w:szCs w:val="19"/>
              </w:rPr>
              <w:t xml:space="preserve">Administrator</w:t>
            </w:r>
          </w:p>
        </w:tc>
        <w:tc>
          <w:tcPr>
            <w:tcW w:type="dxa" w:w="1750"/>
            <w:vMerge w:val="restart"/>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tcPr>
          <w:p>
            <w:pPr>
              <w:spacing w:after="0" w:line="240"/>
            </w:pPr>
            <w:r>
              <w:rPr>
                <w:rFonts w:ascii="Arial" w:cs="Arial" w:eastAsia="Arial" w:hAnsi="Arial"/>
                <w:sz w:val="19"/>
                <w:szCs w:val="19"/>
              </w:rPr>
              <w:t xml:space="preserve">Configuration</w:t>
            </w: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USN-19</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administrator, I can configure categories, assignment groups and SLA definitions.</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The changes are saved and applied to new incidents.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High</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USN-20</w:t>
            </w:r>
          </w:p>
        </w:tc>
        <w:tc>
          <w:tcPr>
            <w:tcW w:type="dxa" w:w="4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As an administrator, I can manage user roles and access.</w:t>
            </w:r>
          </w:p>
        </w:tc>
        <w:tc>
          <w:tcPr>
            <w:tcW w:type="dxa" w:w="37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Users only see the features allowed by their role.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Medium</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sz w:val="19"/>
                <w:szCs w:val="19"/>
              </w:rPr>
              <w:t xml:space="preserve">Sprint-1</w:t>
            </w:r>
          </w:p>
        </w:tc>
      </w:tr>
    </w:tbl>
    <w:p>
      <w:pPr>
        <w:spacing w:after="120" w:line="264"/>
      </w:pPr>
      <w:r>
        <w:rPr>
          <w:rFonts w:ascii="Arial" w:cs="Arial" w:eastAsia="Arial" w:hAnsi="Arial"/>
          <w:sz w:val="22"/>
          <w:szCs w:val="22"/>
        </w:rPr>
        <w:t xml:space="preserve"/>
      </w:r>
    </w:p>
    <w:p>
      <w:pPr>
        <w:spacing w:after="60" w:line="264"/>
      </w:pPr>
      <w:r>
        <w:rPr>
          <w:rFonts w:ascii="Arial" w:cs="Arial" w:eastAsia="Arial" w:hAnsi="Arial"/>
          <w:b/>
          <w:bCs/>
          <w:sz w:val="22"/>
          <w:szCs w:val="22"/>
        </w:rPr>
        <w:t xml:space="preserve">Priority and Release Notes:</w:t>
      </w:r>
    </w:p>
    <w:p>
      <w:pPr>
        <w:spacing w:after="80" w:line="264"/>
        <w:jc w:val="both"/>
      </w:pPr>
      <w:r>
        <w:rPr>
          <w:rFonts w:ascii="Arial" w:cs="Arial" w:eastAsia="Arial" w:hAnsi="Arial"/>
          <w:sz w:val="22"/>
          <w:szCs w:val="22"/>
        </w:rPr>
        <w:t xml:space="preserve">High priority stories are needed for the core incident lifecycle (recording, classification, assignment, investigation and resolution). Medium priority stories improve efficiency and visibility. Low priority stories add reporting and can follow later.</w:t>
      </w:r>
    </w:p>
    <w:p>
      <w:pPr>
        <w:spacing w:after="0" w:line="264"/>
        <w:jc w:val="both"/>
      </w:pPr>
      <w:r>
        <w:rPr>
          <w:rFonts w:ascii="Arial" w:cs="Arial" w:eastAsia="Arial" w:hAnsi="Arial"/>
          <w:sz w:val="22"/>
          <w:szCs w:val="22"/>
        </w:rPr>
        <w:t xml:space="preserve">Sprint-1 covers the core lifecycle and configuration, Sprint-2 adds tracking, reuse of knowledge and related incidents, and Sprint-3 adds change handling, SLA alerts and reports.</w:t>
      </w:r>
    </w:p>
    <w:sectPr>
      <w:pgSz w:w="16838" w:h="11906" w:orient="landscape"/>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2fa50c63bfb5645835f78e8896bfe3b52f50bf.png"/><Relationship Id="rId8" Type="http://schemas.openxmlformats.org/officeDocument/2006/relationships/image" Target="media/a75cf10a22f9a7c5b8765ebc5008b8cbc5b878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2026-10-21T03:52:28.820Z</dcterms:created>
  <dcterms:modified xsi:type="dcterms:W3CDTF">2026-10-21T03:52:28.821Z</dcterms:modified>
</cp:coreProperties>
</file>

<file path=docProps/custom.xml><?xml version="1.0" encoding="utf-8"?>
<Properties xmlns="http://schemas.openxmlformats.org/officeDocument/2006/custom-properties" xmlns:vt="http://schemas.openxmlformats.org/officeDocument/2006/docPropsVTypes"/>
</file>