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jc w:val="center"/>
      </w:pPr>
      <w:r>
        <w:rPr>
          <w:rFonts w:ascii="Arial" w:cs="Arial" w:eastAsia="Arial" w:hAnsi="Arial"/>
          <w:b/>
          <w:bCs/>
          <w:sz w:val="28"/>
          <w:szCs w:val="28"/>
        </w:rPr>
        <w:t xml:space="preserve">Project Design Phase-II</w:t>
      </w:r>
    </w:p>
    <w:p>
      <w:pPr>
        <w:spacing w:after="240" w:line="276"/>
        <w:jc w:val="center"/>
      </w:pPr>
      <w:r>
        <w:rPr>
          <w:rFonts w:ascii="Arial" w:cs="Arial" w:eastAsia="Arial" w:hAnsi="Arial"/>
          <w:b/>
          <w:bCs/>
          <w:sz w:val="28"/>
          <w:szCs w:val="28"/>
        </w:rPr>
        <w:t xml:space="preserve">Solution Requirements (Functional &amp; Non-functional)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sz w:val="20"/>
                <w:szCs w:val="20"/>
              </w:rPr>
              <w:t xml:space="preserve">Date</w:t>
            </w:r>
          </w:p>
        </w:tc>
        <w:tc>
          <w:tcPr>
            <w:tcW w:type="dxa" w:w="4819"/>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sz w:val="20"/>
                <w:szCs w:val="20"/>
              </w:rPr>
              <w:t xml:space="preserve">21 October 2026</w:t>
            </w:r>
          </w:p>
        </w:tc>
      </w:tr>
      <w:tr>
        <w:tc>
          <w:tcPr>
            <w:tcW w:type="dxa" w:w="4819"/>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sz w:val="20"/>
                <w:szCs w:val="20"/>
              </w:rPr>
              <w:t xml:space="preserve">Team ID</w:t>
            </w:r>
          </w:p>
        </w:tc>
        <w:tc>
          <w:tcPr>
            <w:tcW w:type="dxa" w:w="4819"/>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sz w:val="20"/>
                <w:szCs w:val="20"/>
              </w:rPr>
              <w:t xml:space="preserve"/>
            </w:r>
          </w:p>
        </w:tc>
      </w:tr>
      <w:tr>
        <w:tc>
          <w:tcPr>
            <w:tcW w:type="dxa" w:w="4819"/>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sz w:val="20"/>
                <w:szCs w:val="20"/>
              </w:rPr>
              <w:t xml:space="preserve">Project Name</w:t>
            </w:r>
          </w:p>
        </w:tc>
        <w:tc>
          <w:tcPr>
            <w:tcW w:type="dxa" w:w="4819"/>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sz w:val="20"/>
                <w:szCs w:val="20"/>
              </w:rPr>
              <w:t xml:space="preserve">Incident Lifecycle Automation in ServiceNow</w:t>
            </w:r>
          </w:p>
        </w:tc>
      </w:tr>
      <w:tr>
        <w:tc>
          <w:tcPr>
            <w:tcW w:type="dxa" w:w="4819"/>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sz w:val="20"/>
                <w:szCs w:val="20"/>
              </w:rPr>
              <w:t xml:space="preserve">Maximum Marks</w:t>
            </w:r>
          </w:p>
        </w:tc>
        <w:tc>
          <w:tcPr>
            <w:tcW w:type="dxa" w:w="4819"/>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sz w:val="20"/>
                <w:szCs w:val="20"/>
              </w:rPr>
              <w:t xml:space="preserve">4 Marks</w:t>
            </w:r>
          </w:p>
        </w:tc>
      </w:tr>
    </w:tbl>
    <w:p>
      <w:pPr>
        <w:spacing w:after="200" w:line="276"/>
      </w:pPr>
      <w:r>
        <w:rPr>
          <w:rFonts w:ascii="Arial" w:cs="Arial" w:eastAsia="Arial" w:hAnsi="Arial"/>
          <w:sz w:val="22"/>
          <w:szCs w:val="22"/>
        </w:rPr>
        <w:t xml:space="preserve"/>
      </w:r>
    </w:p>
    <w:p>
      <w:pPr>
        <w:keepNext/>
        <w:spacing w:after="80" w:line="276"/>
      </w:pPr>
      <w:r>
        <w:rPr>
          <w:rFonts w:ascii="Arial" w:cs="Arial" w:eastAsia="Arial" w:hAnsi="Arial"/>
          <w:b/>
          <w:bCs/>
          <w:sz w:val="22"/>
          <w:szCs w:val="22"/>
        </w:rPr>
        <w:t xml:space="preserve">Functional Requirements:</w:t>
      </w:r>
    </w:p>
    <w:p>
      <w:pPr>
        <w:keepNext/>
        <w:spacing w:after="140" w:line="276"/>
        <w:jc w:val="both"/>
      </w:pPr>
      <w:r>
        <w:rPr>
          <w:rFonts w:ascii="Arial" w:cs="Arial" w:eastAsia="Arial" w:hAnsi="Arial"/>
          <w:sz w:val="22"/>
          <w:szCs w:val="22"/>
        </w:rPr>
        <w:t xml:space="preserve">Following are the functional requirements of the proposed solution. They cover the incident lifecycle in ServiceNow from recording an incident to closing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538"/>
      </w:tblGrid>
      <w:tr>
        <w:trPr>
          <w:tblHeader/>
        </w:trPr>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b/>
                <w:bCs/>
                <w:sz w:val="20"/>
                <w:szCs w:val="20"/>
              </w:rPr>
              <w:t xml:space="preserve">FR No.</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b/>
                <w:bCs/>
                <w:sz w:val="20"/>
                <w:szCs w:val="20"/>
              </w:rPr>
              <w:t xml:space="preserve">Functional Requirement (Epic)</w:t>
            </w:r>
          </w:p>
        </w:tc>
        <w:tc>
          <w:tcPr>
            <w:tcW w:type="dxa" w:w="55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b/>
                <w:bCs/>
                <w:sz w:val="20"/>
                <w:szCs w:val="20"/>
              </w:rPr>
              <w:t xml:space="preserve">Sub Requirement (Story / Sub-Task)</w:t>
            </w:r>
          </w:p>
        </w:tc>
      </w:tr>
      <w:tr>
        <w:trPr>
          <w:cantSplit/>
        </w:trPr>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sz w:val="20"/>
                <w:szCs w:val="20"/>
              </w:rPr>
              <w:t xml:space="preserve">FR-1</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b/>
                <w:bCs/>
                <w:sz w:val="20"/>
                <w:szCs w:val="20"/>
              </w:rPr>
              <w:t xml:space="preserve">Incident Recording</w:t>
            </w:r>
          </w:p>
        </w:tc>
        <w:tc>
          <w:tcPr>
            <w:tcW w:type="dxa" w:w="55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60" w:line="250"/>
            </w:pPr>
            <w:r>
              <w:rPr>
                <w:rFonts w:ascii="Arial" w:cs="Arial" w:eastAsia="Arial" w:hAnsi="Arial"/>
                <w:sz w:val="20"/>
                <w:szCs w:val="20"/>
              </w:rPr>
              <w:t xml:space="preserve">Report an incident through the ServiceNow form or portal</w:t>
            </w:r>
          </w:p>
          <w:p>
            <w:pPr>
              <w:spacing w:after="60" w:line="250"/>
            </w:pPr>
            <w:r>
              <w:rPr>
                <w:rFonts w:ascii="Arial" w:cs="Arial" w:eastAsia="Arial" w:hAnsi="Arial"/>
                <w:sz w:val="20"/>
                <w:szCs w:val="20"/>
              </w:rPr>
              <w:t xml:space="preserve">Capture the caller, short description and detailed description</w:t>
            </w:r>
          </w:p>
          <w:p>
            <w:pPr>
              <w:spacing w:after="0" w:line="250"/>
            </w:pPr>
            <w:r>
              <w:rPr>
                <w:rFonts w:ascii="Arial" w:cs="Arial" w:eastAsia="Arial" w:hAnsi="Arial"/>
                <w:sz w:val="20"/>
                <w:szCs w:val="20"/>
              </w:rPr>
              <w:t xml:space="preserve">Generate an incident number and confirm it to the caller</w:t>
            </w:r>
          </w:p>
        </w:tc>
      </w:tr>
      <w:tr>
        <w:trPr>
          <w:cantSplit/>
        </w:trPr>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sz w:val="20"/>
                <w:szCs w:val="20"/>
              </w:rPr>
              <w:t xml:space="preserve">FR-2</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b/>
                <w:bCs/>
                <w:sz w:val="20"/>
                <w:szCs w:val="20"/>
              </w:rPr>
              <w:t xml:space="preserve">Incident Classification</w:t>
            </w:r>
          </w:p>
        </w:tc>
        <w:tc>
          <w:tcPr>
            <w:tcW w:type="dxa" w:w="55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60" w:line="250"/>
            </w:pPr>
            <w:r>
              <w:rPr>
                <w:rFonts w:ascii="Arial" w:cs="Arial" w:eastAsia="Arial" w:hAnsi="Arial"/>
                <w:sz w:val="20"/>
                <w:szCs w:val="20"/>
              </w:rPr>
              <w:t xml:space="preserve">Select the category and subcategory</w:t>
            </w:r>
          </w:p>
          <w:p>
            <w:pPr>
              <w:spacing w:after="60" w:line="250"/>
            </w:pPr>
            <w:r>
              <w:rPr>
                <w:rFonts w:ascii="Arial" w:cs="Arial" w:eastAsia="Arial" w:hAnsi="Arial"/>
                <w:sz w:val="20"/>
                <w:szCs w:val="20"/>
              </w:rPr>
              <w:t xml:space="preserve">Set impact and urgency so the priority is calculated</w:t>
            </w:r>
          </w:p>
          <w:p>
            <w:pPr>
              <w:spacing w:after="0" w:line="250"/>
            </w:pPr>
            <w:r>
              <w:rPr>
                <w:rFonts w:ascii="Arial" w:cs="Arial" w:eastAsia="Arial" w:hAnsi="Arial"/>
                <w:sz w:val="20"/>
                <w:szCs w:val="20"/>
              </w:rPr>
              <w:t xml:space="preserve">Select the affected service and configuration item (CI)</w:t>
            </w:r>
          </w:p>
        </w:tc>
      </w:tr>
      <w:tr>
        <w:trPr>
          <w:cantSplit/>
        </w:trPr>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sz w:val="20"/>
                <w:szCs w:val="20"/>
              </w:rPr>
              <w:t xml:space="preserve">FR-3</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b/>
                <w:bCs/>
                <w:sz w:val="20"/>
                <w:szCs w:val="20"/>
              </w:rPr>
              <w:t xml:space="preserve">Assignment and Ownership</w:t>
            </w:r>
          </w:p>
        </w:tc>
        <w:tc>
          <w:tcPr>
            <w:tcW w:type="dxa" w:w="55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60" w:line="250"/>
            </w:pPr>
            <w:r>
              <w:rPr>
                <w:rFonts w:ascii="Arial" w:cs="Arial" w:eastAsia="Arial" w:hAnsi="Arial"/>
                <w:sz w:val="20"/>
                <w:szCs w:val="20"/>
              </w:rPr>
              <w:t xml:space="preserve">Assign the incident to the correct support group</w:t>
            </w:r>
          </w:p>
          <w:p>
            <w:pPr>
              <w:spacing w:after="60" w:line="250"/>
            </w:pPr>
            <w:r>
              <w:rPr>
                <w:rFonts w:ascii="Arial" w:cs="Arial" w:eastAsia="Arial" w:hAnsi="Arial"/>
                <w:sz w:val="20"/>
                <w:szCs w:val="20"/>
              </w:rPr>
              <w:t xml:space="preserve">Assign the incident to an individual technician</w:t>
            </w:r>
          </w:p>
          <w:p>
            <w:pPr>
              <w:spacing w:after="0" w:line="250"/>
            </w:pPr>
            <w:r>
              <w:rPr>
                <w:rFonts w:ascii="Arial" w:cs="Arial" w:eastAsia="Arial" w:hAnsi="Arial"/>
                <w:sz w:val="20"/>
                <w:szCs w:val="20"/>
              </w:rPr>
              <w:t xml:space="preserve">Reassign the incident with a note when routed incorrectly</w:t>
            </w:r>
          </w:p>
        </w:tc>
      </w:tr>
      <w:tr>
        <w:trPr>
          <w:cantSplit/>
        </w:trPr>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sz w:val="20"/>
                <w:szCs w:val="20"/>
              </w:rPr>
              <w:t xml:space="preserve">FR-4</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b/>
                <w:bCs/>
                <w:sz w:val="20"/>
                <w:szCs w:val="20"/>
              </w:rPr>
              <w:t xml:space="preserve">Investigation and Knowledge Reuse</w:t>
            </w:r>
          </w:p>
        </w:tc>
        <w:tc>
          <w:tcPr>
            <w:tcW w:type="dxa" w:w="55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60" w:line="250"/>
            </w:pPr>
            <w:r>
              <w:rPr>
                <w:rFonts w:ascii="Arial" w:cs="Arial" w:eastAsia="Arial" w:hAnsi="Arial"/>
                <w:sz w:val="20"/>
                <w:szCs w:val="20"/>
              </w:rPr>
              <w:t xml:space="preserve">Search knowledge articles from the incident</w:t>
            </w:r>
          </w:p>
          <w:p>
            <w:pPr>
              <w:spacing w:after="60" w:line="250"/>
            </w:pPr>
            <w:r>
              <w:rPr>
                <w:rFonts w:ascii="Arial" w:cs="Arial" w:eastAsia="Arial" w:hAnsi="Arial"/>
                <w:sz w:val="20"/>
                <w:szCs w:val="20"/>
              </w:rPr>
              <w:t xml:space="preserve">Attach a knowledge article to the incident</w:t>
            </w:r>
          </w:p>
          <w:p>
            <w:pPr>
              <w:spacing w:after="0" w:line="250"/>
            </w:pPr>
            <w:r>
              <w:rPr>
                <w:rFonts w:ascii="Arial" w:cs="Arial" w:eastAsia="Arial" w:hAnsi="Arial"/>
                <w:sz w:val="20"/>
                <w:szCs w:val="20"/>
              </w:rPr>
              <w:t xml:space="preserve">Add work notes and comments to record troubleshooting</w:t>
            </w:r>
          </w:p>
        </w:tc>
      </w:tr>
      <w:tr>
        <w:trPr>
          <w:cantSplit/>
        </w:trPr>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sz w:val="20"/>
                <w:szCs w:val="20"/>
              </w:rPr>
              <w:t xml:space="preserve">FR-5</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b/>
                <w:bCs/>
                <w:sz w:val="20"/>
                <w:szCs w:val="20"/>
              </w:rPr>
              <w:t xml:space="preserve">Related Records</w:t>
            </w:r>
          </w:p>
        </w:tc>
        <w:tc>
          <w:tcPr>
            <w:tcW w:type="dxa" w:w="55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60" w:line="250"/>
            </w:pPr>
            <w:r>
              <w:rPr>
                <w:rFonts w:ascii="Arial" w:cs="Arial" w:eastAsia="Arial" w:hAnsi="Arial"/>
                <w:sz w:val="20"/>
                <w:szCs w:val="20"/>
              </w:rPr>
              <w:t xml:space="preserve">Link related incidents to a parent incident</w:t>
            </w:r>
          </w:p>
          <w:p>
            <w:pPr>
              <w:spacing w:after="60" w:line="250"/>
            </w:pPr>
            <w:r>
              <w:rPr>
                <w:rFonts w:ascii="Arial" w:cs="Arial" w:eastAsia="Arial" w:hAnsi="Arial"/>
                <w:sz w:val="20"/>
                <w:szCs w:val="20"/>
              </w:rPr>
              <w:t xml:space="preserve">Create or link a change request when a change is needed</w:t>
            </w:r>
          </w:p>
          <w:p>
            <w:pPr>
              <w:spacing w:after="0" w:line="250"/>
            </w:pPr>
            <w:r>
              <w:rPr>
                <w:rFonts w:ascii="Arial" w:cs="Arial" w:eastAsia="Arial" w:hAnsi="Arial"/>
                <w:sz w:val="20"/>
                <w:szCs w:val="20"/>
              </w:rPr>
              <w:t xml:space="preserve">Show related records on the incident form</w:t>
            </w:r>
          </w:p>
        </w:tc>
      </w:tr>
      <w:tr>
        <w:trPr>
          <w:cantSplit/>
        </w:trPr>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sz w:val="20"/>
                <w:szCs w:val="20"/>
              </w:rPr>
              <w:t xml:space="preserve">FR-6</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b/>
                <w:bCs/>
                <w:sz w:val="20"/>
                <w:szCs w:val="20"/>
              </w:rPr>
              <w:t xml:space="preserve">SLA Tracking</w:t>
            </w:r>
          </w:p>
        </w:tc>
        <w:tc>
          <w:tcPr>
            <w:tcW w:type="dxa" w:w="55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60" w:line="250"/>
            </w:pPr>
            <w:r>
              <w:rPr>
                <w:rFonts w:ascii="Arial" w:cs="Arial" w:eastAsia="Arial" w:hAnsi="Arial"/>
                <w:sz w:val="20"/>
                <w:szCs w:val="20"/>
              </w:rPr>
              <w:t xml:space="preserve">Show SLA status and timers on the incident</w:t>
            </w:r>
          </w:p>
          <w:p>
            <w:pPr>
              <w:spacing w:after="60" w:line="250"/>
            </w:pPr>
            <w:r>
              <w:rPr>
                <w:rFonts w:ascii="Arial" w:cs="Arial" w:eastAsia="Arial" w:hAnsi="Arial"/>
                <w:sz w:val="20"/>
                <w:szCs w:val="20"/>
              </w:rPr>
              <w:t xml:space="preserve">Show SLA information on related tasks</w:t>
            </w:r>
          </w:p>
          <w:p>
            <w:pPr>
              <w:spacing w:after="0" w:line="250"/>
            </w:pPr>
            <w:r>
              <w:rPr>
                <w:rFonts w:ascii="Arial" w:cs="Arial" w:eastAsia="Arial" w:hAnsi="Arial"/>
                <w:sz w:val="20"/>
                <w:szCs w:val="20"/>
              </w:rPr>
              <w:t xml:space="preserve">Alert users when an SLA is close to breaching</w:t>
            </w:r>
          </w:p>
        </w:tc>
      </w:tr>
      <w:tr>
        <w:trPr>
          <w:cantSplit/>
        </w:trPr>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sz w:val="20"/>
                <w:szCs w:val="20"/>
              </w:rPr>
              <w:t xml:space="preserve">FR-7</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b/>
                <w:bCs/>
                <w:sz w:val="20"/>
                <w:szCs w:val="20"/>
              </w:rPr>
              <w:t xml:space="preserve">Resolution and Closure</w:t>
            </w:r>
          </w:p>
        </w:tc>
        <w:tc>
          <w:tcPr>
            <w:tcW w:type="dxa" w:w="55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60" w:line="250"/>
            </w:pPr>
            <w:r>
              <w:rPr>
                <w:rFonts w:ascii="Arial" w:cs="Arial" w:eastAsia="Arial" w:hAnsi="Arial"/>
                <w:sz w:val="20"/>
                <w:szCs w:val="20"/>
              </w:rPr>
              <w:t xml:space="preserve">Record the cause and workaround</w:t>
            </w:r>
          </w:p>
          <w:p>
            <w:pPr>
              <w:spacing w:after="60" w:line="250"/>
            </w:pPr>
            <w:r>
              <w:rPr>
                <w:rFonts w:ascii="Arial" w:cs="Arial" w:eastAsia="Arial" w:hAnsi="Arial"/>
                <w:sz w:val="20"/>
                <w:szCs w:val="20"/>
              </w:rPr>
              <w:t xml:space="preserve">Enter resolution notes before resolving the incident</w:t>
            </w:r>
          </w:p>
          <w:p>
            <w:pPr>
              <w:spacing w:after="0" w:line="250"/>
            </w:pPr>
            <w:r>
              <w:rPr>
                <w:rFonts w:ascii="Arial" w:cs="Arial" w:eastAsia="Arial" w:hAnsi="Arial"/>
                <w:sz w:val="20"/>
                <w:szCs w:val="20"/>
              </w:rPr>
              <w:t xml:space="preserve">Close the incident and notify the caller</w:t>
            </w:r>
          </w:p>
        </w:tc>
      </w:tr>
      <w:tr>
        <w:trPr>
          <w:cantSplit/>
        </w:trPr>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sz w:val="20"/>
                <w:szCs w:val="20"/>
              </w:rPr>
              <w:t xml:space="preserve">FR-8</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b/>
                <w:bCs/>
                <w:sz w:val="20"/>
                <w:szCs w:val="20"/>
              </w:rPr>
              <w:t xml:space="preserve">Notifications and Reporting</w:t>
            </w:r>
          </w:p>
        </w:tc>
        <w:tc>
          <w:tcPr>
            <w:tcW w:type="dxa" w:w="55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60" w:line="250"/>
            </w:pPr>
            <w:r>
              <w:rPr>
                <w:rFonts w:ascii="Arial" w:cs="Arial" w:eastAsia="Arial" w:hAnsi="Arial"/>
                <w:sz w:val="20"/>
                <w:szCs w:val="20"/>
              </w:rPr>
              <w:t xml:space="preserve">Notify the caller when the incident state changes</w:t>
            </w:r>
          </w:p>
          <w:p>
            <w:pPr>
              <w:spacing w:after="60" w:line="250"/>
            </w:pPr>
            <w:r>
              <w:rPr>
                <w:rFonts w:ascii="Arial" w:cs="Arial" w:eastAsia="Arial" w:hAnsi="Arial"/>
                <w:sz w:val="20"/>
                <w:szCs w:val="20"/>
              </w:rPr>
              <w:t xml:space="preserve">Notify the support group when an incident is assigned</w:t>
            </w:r>
          </w:p>
          <w:p>
            <w:pPr>
              <w:spacing w:after="0" w:line="250"/>
            </w:pPr>
            <w:r>
              <w:rPr>
                <w:rFonts w:ascii="Arial" w:cs="Arial" w:eastAsia="Arial" w:hAnsi="Arial"/>
                <w:sz w:val="20"/>
                <w:szCs w:val="20"/>
              </w:rPr>
              <w:t xml:space="preserve">Report incidents by category, priority and state</w:t>
            </w:r>
          </w:p>
        </w:tc>
      </w:tr>
      <w:tr>
        <w:trPr>
          <w:cantSplit/>
        </w:trPr>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sz w:val="20"/>
                <w:szCs w:val="20"/>
              </w:rPr>
              <w:t xml:space="preserve">FR-9</w:t>
            </w:r>
          </w:p>
        </w:tc>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b/>
                <w:bCs/>
                <w:sz w:val="20"/>
                <w:szCs w:val="20"/>
              </w:rPr>
              <w:t xml:space="preserve">Access and Configuration</w:t>
            </w:r>
          </w:p>
        </w:tc>
        <w:tc>
          <w:tcPr>
            <w:tcW w:type="dxa" w:w="55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60" w:line="250"/>
            </w:pPr>
            <w:r>
              <w:rPr>
                <w:rFonts w:ascii="Arial" w:cs="Arial" w:eastAsia="Arial" w:hAnsi="Arial"/>
                <w:sz w:val="20"/>
                <w:szCs w:val="20"/>
              </w:rPr>
              <w:t xml:space="preserve">Configure categories, assignment groups and SLA definitions</w:t>
            </w:r>
          </w:p>
          <w:p>
            <w:pPr>
              <w:spacing w:after="0" w:line="250"/>
            </w:pPr>
            <w:r>
              <w:rPr>
                <w:rFonts w:ascii="Arial" w:cs="Arial" w:eastAsia="Arial" w:hAnsi="Arial"/>
                <w:sz w:val="20"/>
                <w:szCs w:val="20"/>
              </w:rPr>
              <w:t xml:space="preserve">Manage user roles and access to incident records</w:t>
            </w:r>
          </w:p>
        </w:tc>
      </w:tr>
    </w:tbl>
    <w:p>
      <w:pPr>
        <w:spacing w:after="240" w:line="276"/>
      </w:pPr>
      <w:r>
        <w:rPr>
          <w:rFonts w:ascii="Arial" w:cs="Arial" w:eastAsia="Arial" w:hAnsi="Arial"/>
          <w:sz w:val="22"/>
          <w:szCs w:val="22"/>
        </w:rPr>
        <w:t xml:space="preserve"/>
      </w:r>
    </w:p>
    <w:p>
      <w:pPr>
        <w:keepNext/>
        <w:spacing w:after="80" w:line="276"/>
      </w:pPr>
      <w:r>
        <w:rPr>
          <w:rFonts w:ascii="Arial" w:cs="Arial" w:eastAsia="Arial" w:hAnsi="Arial"/>
          <w:b/>
          <w:bCs/>
          <w:sz w:val="22"/>
          <w:szCs w:val="22"/>
        </w:rPr>
        <w:t xml:space="preserve">Non-functional Requirements:</w:t>
      </w:r>
    </w:p>
    <w:p>
      <w:pPr>
        <w:keepNext/>
        <w:spacing w:after="140" w:line="276"/>
      </w:pPr>
      <w:r>
        <w:rPr>
          <w:rFonts w:ascii="Arial" w:cs="Arial" w:eastAsia="Arial" w:hAnsi="Arial"/>
          <w:sz w:val="22"/>
          <w:szCs w:val="22"/>
        </w:rPr>
        <w:t xml:space="preserve">Following are the non-functional requirements of the proposed solution.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6238"/>
      </w:tblGrid>
      <w:tr>
        <w:trPr>
          <w:tblHeader/>
        </w:trPr>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b/>
                <w:bCs/>
                <w:sz w:val="20"/>
                <w:szCs w:val="20"/>
              </w:rPr>
              <w:t xml:space="preserve">NFR No.</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b/>
                <w:bCs/>
                <w:sz w:val="20"/>
                <w:szCs w:val="20"/>
              </w:rPr>
              <w:t xml:space="preserve">Non-Functional Requirement</w:t>
            </w:r>
          </w:p>
        </w:tc>
        <w:tc>
          <w:tcPr>
            <w:tcW w:type="dxa" w:w="62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b/>
                <w:bCs/>
                <w:sz w:val="20"/>
                <w:szCs w:val="20"/>
              </w:rPr>
              <w:t xml:space="preserve">Description</w:t>
            </w:r>
          </w:p>
        </w:tc>
      </w:tr>
      <w:tr>
        <w:trPr>
          <w:cantSplit/>
        </w:trPr>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sz w:val="20"/>
                <w:szCs w:val="20"/>
              </w:rPr>
              <w:t xml:space="preserve">NFR-1</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b/>
                <w:bCs/>
                <w:sz w:val="20"/>
                <w:szCs w:val="20"/>
              </w:rPr>
              <w:t xml:space="preserve">Usability</w:t>
            </w:r>
          </w:p>
        </w:tc>
        <w:tc>
          <w:tcPr>
            <w:tcW w:type="dxa" w:w="62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sz w:val="20"/>
                <w:szCs w:val="20"/>
              </w:rPr>
              <w:t xml:space="preserve">The incident form is simple, with clear field labels, so an agent can record and classify an incident in a few steps. Layout and terms are consistent across incident, task and knowledge screens.</w:t>
            </w:r>
          </w:p>
        </w:tc>
      </w:tr>
      <w:tr>
        <w:trPr>
          <w:cantSplit/>
        </w:trPr>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sz w:val="20"/>
                <w:szCs w:val="20"/>
              </w:rPr>
              <w:t xml:space="preserve">NFR-2</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b/>
                <w:bCs/>
                <w:sz w:val="20"/>
                <w:szCs w:val="20"/>
              </w:rPr>
              <w:t xml:space="preserve">Security</w:t>
            </w:r>
          </w:p>
        </w:tc>
        <w:tc>
          <w:tcPr>
            <w:tcW w:type="dxa" w:w="62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sz w:val="20"/>
                <w:szCs w:val="20"/>
              </w:rPr>
              <w:t xml:space="preserve">Access is controlled by user roles so that users see and change only the records they are allowed to. Users sign in through ServiceNow authentication, and incident data is protected on the platform.</w:t>
            </w:r>
          </w:p>
        </w:tc>
      </w:tr>
      <w:tr>
        <w:trPr>
          <w:cantSplit/>
        </w:trPr>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sz w:val="20"/>
                <w:szCs w:val="20"/>
              </w:rPr>
              <w:t xml:space="preserve">NFR-3</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b/>
                <w:bCs/>
                <w:sz w:val="20"/>
                <w:szCs w:val="20"/>
              </w:rPr>
              <w:t xml:space="preserve">Reliability</w:t>
            </w:r>
          </w:p>
        </w:tc>
        <w:tc>
          <w:tcPr>
            <w:tcW w:type="dxa" w:w="62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sz w:val="20"/>
                <w:szCs w:val="20"/>
              </w:rPr>
              <w:t xml:space="preserve">Incident records, work notes and resolution details are saved consistently and are not lost between states. Mandatory fields prevent incomplete records from moving forward.</w:t>
            </w:r>
          </w:p>
        </w:tc>
      </w:tr>
      <w:tr>
        <w:trPr>
          <w:cantSplit/>
        </w:trPr>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sz w:val="20"/>
                <w:szCs w:val="20"/>
              </w:rPr>
              <w:t xml:space="preserve">NFR-4</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b/>
                <w:bCs/>
                <w:sz w:val="20"/>
                <w:szCs w:val="20"/>
              </w:rPr>
              <w:t xml:space="preserve">Performance</w:t>
            </w:r>
          </w:p>
        </w:tc>
        <w:tc>
          <w:tcPr>
            <w:tcW w:type="dxa" w:w="62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sz w:val="20"/>
                <w:szCs w:val="20"/>
              </w:rPr>
              <w:t xml:space="preserve">Incident forms, lists and searches respond quickly under normal use, and rules and notifications run without noticeable delay for the agent.</w:t>
            </w:r>
          </w:p>
        </w:tc>
      </w:tr>
      <w:tr>
        <w:trPr>
          <w:cantSplit/>
        </w:trPr>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sz w:val="20"/>
                <w:szCs w:val="20"/>
              </w:rPr>
              <w:t xml:space="preserve">NFR-5</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b/>
                <w:bCs/>
                <w:sz w:val="20"/>
                <w:szCs w:val="20"/>
              </w:rPr>
              <w:t xml:space="preserve">Availability</w:t>
            </w:r>
          </w:p>
        </w:tc>
        <w:tc>
          <w:tcPr>
            <w:tcW w:type="dxa" w:w="62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sz w:val="20"/>
                <w:szCs w:val="20"/>
              </w:rPr>
              <w:t xml:space="preserve">The solution is available to the service desk and support groups during working hours through the ServiceNow instance, and depends on the availability of the platform.</w:t>
            </w:r>
          </w:p>
        </w:tc>
      </w:tr>
      <w:tr>
        <w:trPr>
          <w:cantSplit/>
        </w:trPr>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sz w:val="20"/>
                <w:szCs w:val="20"/>
              </w:rPr>
              <w:t xml:space="preserve">NFR-6</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b/>
                <w:bCs/>
                <w:sz w:val="20"/>
                <w:szCs w:val="20"/>
              </w:rPr>
              <w:t xml:space="preserve">Scalability</w:t>
            </w:r>
          </w:p>
        </w:tc>
        <w:tc>
          <w:tcPr>
            <w:tcW w:type="dxa" w:w="62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sz w:val="20"/>
                <w:szCs w:val="20"/>
              </w:rPr>
              <w:t xml:space="preserve">The solution can handle growing numbers of incidents, users and support groups, and new categories, groups and SLA definitions can be added without rebuilding it.</w:t>
            </w:r>
          </w:p>
        </w:tc>
      </w:tr>
      <w:tr>
        <w:trPr>
          <w:cantSplit/>
        </w:trPr>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sz w:val="20"/>
                <w:szCs w:val="20"/>
              </w:rPr>
              <w:t xml:space="preserve">NFR-7</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b/>
                <w:bCs/>
                <w:sz w:val="20"/>
                <w:szCs w:val="20"/>
              </w:rPr>
              <w:t xml:space="preserve">Maintainability</w:t>
            </w:r>
          </w:p>
        </w:tc>
        <w:tc>
          <w:tcPr>
            <w:tcW w:type="dxa" w:w="62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sz w:val="20"/>
                <w:szCs w:val="20"/>
              </w:rPr>
              <w:t xml:space="preserve">Categories, assignment groups, SLA definitions and notifications are configured on the platform, so administrators can change them without redesigning the solution.</w:t>
            </w:r>
          </w:p>
        </w:tc>
      </w:tr>
      <w:tr>
        <w:trPr>
          <w:cantSplit/>
        </w:trPr>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sz w:val="20"/>
                <w:szCs w:val="20"/>
              </w:rPr>
              <w:t xml:space="preserve">NFR-8</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b/>
                <w:bCs/>
                <w:sz w:val="20"/>
                <w:szCs w:val="20"/>
              </w:rPr>
              <w:t xml:space="preserve">Auditability</w:t>
            </w:r>
          </w:p>
        </w:tc>
        <w:tc>
          <w:tcPr>
            <w:tcW w:type="dxa" w:w="623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after="0" w:line="250"/>
            </w:pPr>
            <w:r>
              <w:rPr>
                <w:rFonts w:ascii="Arial" w:cs="Arial" w:eastAsia="Arial" w:hAnsi="Arial"/>
                <w:sz w:val="20"/>
                <w:szCs w:val="20"/>
              </w:rPr>
              <w:t xml:space="preserve">Changes to an incident, such as assignment, state and notes, are recorded with the time and the user, so the history of each incident can be reviewed.</w:t>
            </w:r>
          </w:p>
        </w:tc>
      </w:tr>
    </w:tbl>
    <w:sectPr>
      <w:pgSz w:w="11906" w:h="16838" w:orient="portrait"/>
      <w:pgMar w:top="1134"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2026-10-21T04:01:40.425Z</dcterms:created>
  <dcterms:modified xsi:type="dcterms:W3CDTF">2026-10-21T04:01:40.426Z</dcterms:modified>
</cp:coreProperties>
</file>

<file path=docProps/custom.xml><?xml version="1.0" encoding="utf-8"?>
<Properties xmlns="http://schemas.openxmlformats.org/officeDocument/2006/custom-properties" xmlns:vt="http://schemas.openxmlformats.org/officeDocument/2006/docPropsVTypes"/>
</file>