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C847B" w14:textId="2749E372" w:rsidR="0099438B" w:rsidRDefault="0099438B" w:rsidP="0099438B">
      <w:pPr>
        <w:spacing w:line="360" w:lineRule="auto"/>
        <w:jc w:val="both"/>
        <w:rPr>
          <w:rFonts w:ascii="Times New Roman" w:hAnsi="Times New Roman" w:cs="Times New Roman"/>
          <w:sz w:val="24"/>
          <w:szCs w:val="24"/>
        </w:rPr>
      </w:pPr>
      <w:r w:rsidRPr="0099438B">
        <w:rPr>
          <w:rFonts w:ascii="Times New Roman" w:hAnsi="Times New Roman" w:cs="Times New Roman"/>
          <w:sz w:val="24"/>
          <w:szCs w:val="24"/>
        </w:rPr>
        <w:t>Since every output gap estimation method requires data for the real GDP of the country whose gap is being estimated, data on seasonally and calendar-adjusted real GDP (in euros) was taken from two databases, the Eurostat database and the OECD database</w:t>
      </w:r>
      <w:r w:rsidR="002A403B">
        <w:rPr>
          <w:rFonts w:ascii="Times New Roman" w:hAnsi="Times New Roman" w:cs="Times New Roman"/>
          <w:sz w:val="24"/>
          <w:szCs w:val="24"/>
        </w:rPr>
        <w:t>.</w:t>
      </w:r>
      <w:r w:rsidRPr="0099438B">
        <w:rPr>
          <w:rFonts w:ascii="Times New Roman" w:hAnsi="Times New Roman" w:cs="Times New Roman"/>
          <w:sz w:val="24"/>
          <w:szCs w:val="24"/>
        </w:rPr>
        <w:t xml:space="preserve"> The frequency of the data is quarterly, and the reason why these two databases are combined is to obtain the longest possible series for all countries in the sample. The real quarterly GDP series were expressed in logarithmic form before applying each univariate method. The difference between the logarithms of actual and potential GDP represents the output gap. Real GDP data for the 26 countries in our sample is shown in</w:t>
      </w:r>
      <w:r w:rsidRPr="0099438B">
        <w:rPr>
          <w:rFonts w:ascii="Times New Roman" w:hAnsi="Times New Roman" w:cs="Times New Roman"/>
          <w:sz w:val="24"/>
          <w:szCs w:val="24"/>
        </w:rPr>
        <w:t xml:space="preserve"> </w:t>
      </w:r>
      <w:r w:rsidRPr="0099438B">
        <w:rPr>
          <w:rFonts w:ascii="Times New Roman" w:hAnsi="Times New Roman" w:cs="Times New Roman"/>
          <w:sz w:val="24"/>
          <w:szCs w:val="24"/>
        </w:rPr>
        <w:t xml:space="preserve">Figure A.1, and Figure A.2 displays the real GDP growth rates. </w:t>
      </w:r>
    </w:p>
    <w:p w14:paraId="7CD79976" w14:textId="4C55CE90" w:rsidR="0099438B" w:rsidRDefault="0099438B" w:rsidP="0099438B">
      <w:pPr>
        <w:spacing w:line="360" w:lineRule="auto"/>
        <w:jc w:val="both"/>
        <w:rPr>
          <w:rFonts w:ascii="Times New Roman" w:hAnsi="Times New Roman" w:cs="Times New Roman"/>
          <w:sz w:val="24"/>
          <w:szCs w:val="24"/>
        </w:rPr>
      </w:pPr>
      <w:r w:rsidRPr="0099438B">
        <w:rPr>
          <w:rFonts w:ascii="Times New Roman" w:hAnsi="Times New Roman" w:cs="Times New Roman"/>
          <w:sz w:val="24"/>
          <w:szCs w:val="24"/>
        </w:rPr>
        <w:t xml:space="preserve">A similar approach was used when retrieving the data on the unemployment rate and the employment rate that are needed to estimate the output gap using the Blanchard-Quah SVAR model. To obtain the longest possible series of data on the unemployment rate, for some countries, we use quarterly data for the age group 15+ from the OECD database, while for the other countries we use the data for the age group 15-74 obtained from the Eurostat database (Eurostat, 2025e) and the Eurostat database with historical data. The use of different age groups does not affect our results because our research is not based on mutual comparison of gaps between countries. Quarterly data on the employment rate in the age group 15-64 was taken from Eurostat, combining current and historical data depending on the availability of data for each country in the sample. The data for the UK’s employment rate was obtained from the OECD’s database. The quarterly GDP deflator (price) data needed to estimate the output gap using the Bayoumi and Eichengreen SVAR model was taken from Eurostat and the UK’s Office for National Statistics. </w:t>
      </w:r>
    </w:p>
    <w:p w14:paraId="1E0831B4" w14:textId="1D0B8B3D" w:rsidR="00A20D4C" w:rsidRPr="0099438B" w:rsidRDefault="0099438B" w:rsidP="0099438B">
      <w:pPr>
        <w:spacing w:line="360" w:lineRule="auto"/>
        <w:jc w:val="both"/>
        <w:rPr>
          <w:rFonts w:ascii="Times New Roman" w:hAnsi="Times New Roman" w:cs="Times New Roman"/>
          <w:sz w:val="24"/>
          <w:szCs w:val="24"/>
        </w:rPr>
      </w:pPr>
      <w:r w:rsidRPr="0099438B">
        <w:rPr>
          <w:rFonts w:ascii="Times New Roman" w:hAnsi="Times New Roman" w:cs="Times New Roman"/>
          <w:sz w:val="24"/>
          <w:szCs w:val="24"/>
        </w:rPr>
        <w:t xml:space="preserve">The employment and unemployment rate data is shown in figure A.3, while figure A.2 displays the GDP deflator rate of inflation. When it comes to real-time gaps estimated by the European Commission, the data was taken from the autumn editions of the publication ”Economic Forecast” published in the period from 2003 to 2025, from which we obtained the values of the gaps for the period from 2002 to 2024. We take the first publicly available output gap estimate as the real-time gap estimated by the European Commission. The first year for which the European Commission published gap estimates was 2002 for a wider set of European Union countries, hence this year was taken as the starting year. Final gaps estimated by the European Commission were obtained from the same publication and from the last vintage which published output gap estimates for a specific year. A similar approach was used to obtain the real-time and final output gaps estimated by the IMF and the OECD. The IMF publishes gap </w:t>
      </w:r>
      <w:r w:rsidRPr="0099438B">
        <w:rPr>
          <w:rFonts w:ascii="Times New Roman" w:hAnsi="Times New Roman" w:cs="Times New Roman"/>
          <w:sz w:val="24"/>
          <w:szCs w:val="24"/>
        </w:rPr>
        <w:lastRenderedPageBreak/>
        <w:t>estimates as a part of the ”World Economic Outlook” publication, and these gap estimates are available in the IMF database. Estimates of output gaps published by the OECD were taken from the OECD database and the publication</w:t>
      </w:r>
      <w:r w:rsidRPr="0099438B">
        <w:rPr>
          <w:rFonts w:ascii="Times New Roman" w:hAnsi="Times New Roman" w:cs="Times New Roman"/>
          <w:sz w:val="24"/>
          <w:szCs w:val="24"/>
        </w:rPr>
        <w:t xml:space="preserve"> </w:t>
      </w:r>
      <w:r w:rsidRPr="0099438B">
        <w:rPr>
          <w:rFonts w:ascii="Times New Roman" w:hAnsi="Times New Roman" w:cs="Times New Roman"/>
          <w:sz w:val="24"/>
          <w:szCs w:val="24"/>
        </w:rPr>
        <w:t>”Economic Outlook”.</w:t>
      </w:r>
    </w:p>
    <w:sectPr w:rsidR="00A20D4C" w:rsidRPr="009943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B5C"/>
    <w:rsid w:val="00186D0E"/>
    <w:rsid w:val="002A403B"/>
    <w:rsid w:val="005E679A"/>
    <w:rsid w:val="00670B5C"/>
    <w:rsid w:val="00940A8C"/>
    <w:rsid w:val="0099438B"/>
    <w:rsid w:val="00A20D4C"/>
    <w:rsid w:val="00C65F02"/>
    <w:rsid w:val="00CE2215"/>
    <w:rsid w:val="00D23D25"/>
    <w:rsid w:val="00FA5214"/>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65891"/>
  <w15:chartTrackingRefBased/>
  <w15:docId w15:val="{45998DFA-DE74-462F-AC03-52A1696C7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B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0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0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B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0B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0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B5C"/>
    <w:rPr>
      <w:rFonts w:eastAsiaTheme="majorEastAsia" w:cstheme="majorBidi"/>
      <w:color w:val="272727" w:themeColor="text1" w:themeTint="D8"/>
    </w:rPr>
  </w:style>
  <w:style w:type="paragraph" w:styleId="Title">
    <w:name w:val="Title"/>
    <w:basedOn w:val="Normal"/>
    <w:next w:val="Normal"/>
    <w:link w:val="TitleChar"/>
    <w:uiPriority w:val="10"/>
    <w:qFormat/>
    <w:rsid w:val="00670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B5C"/>
    <w:pPr>
      <w:spacing w:before="160"/>
      <w:jc w:val="center"/>
    </w:pPr>
    <w:rPr>
      <w:i/>
      <w:iCs/>
      <w:color w:val="404040" w:themeColor="text1" w:themeTint="BF"/>
    </w:rPr>
  </w:style>
  <w:style w:type="character" w:customStyle="1" w:styleId="QuoteChar">
    <w:name w:val="Quote Char"/>
    <w:basedOn w:val="DefaultParagraphFont"/>
    <w:link w:val="Quote"/>
    <w:uiPriority w:val="29"/>
    <w:rsid w:val="00670B5C"/>
    <w:rPr>
      <w:i/>
      <w:iCs/>
      <w:color w:val="404040" w:themeColor="text1" w:themeTint="BF"/>
    </w:rPr>
  </w:style>
  <w:style w:type="paragraph" w:styleId="ListParagraph">
    <w:name w:val="List Paragraph"/>
    <w:basedOn w:val="Normal"/>
    <w:uiPriority w:val="34"/>
    <w:qFormat/>
    <w:rsid w:val="00670B5C"/>
    <w:pPr>
      <w:ind w:left="720"/>
      <w:contextualSpacing/>
    </w:pPr>
  </w:style>
  <w:style w:type="character" w:styleId="IntenseEmphasis">
    <w:name w:val="Intense Emphasis"/>
    <w:basedOn w:val="DefaultParagraphFont"/>
    <w:uiPriority w:val="21"/>
    <w:qFormat/>
    <w:rsid w:val="00670B5C"/>
    <w:rPr>
      <w:i/>
      <w:iCs/>
      <w:color w:val="0F4761" w:themeColor="accent1" w:themeShade="BF"/>
    </w:rPr>
  </w:style>
  <w:style w:type="paragraph" w:styleId="IntenseQuote">
    <w:name w:val="Intense Quote"/>
    <w:basedOn w:val="Normal"/>
    <w:next w:val="Normal"/>
    <w:link w:val="IntenseQuoteChar"/>
    <w:uiPriority w:val="30"/>
    <w:qFormat/>
    <w:rsid w:val="00670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B5C"/>
    <w:rPr>
      <w:i/>
      <w:iCs/>
      <w:color w:val="0F4761" w:themeColor="accent1" w:themeShade="BF"/>
    </w:rPr>
  </w:style>
  <w:style w:type="character" w:styleId="IntenseReference">
    <w:name w:val="Intense Reference"/>
    <w:basedOn w:val="DefaultParagraphFont"/>
    <w:uiPriority w:val="32"/>
    <w:qFormat/>
    <w:rsid w:val="00670B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462</Words>
  <Characters>2639</Characters>
  <Application>Microsoft Office Word</Application>
  <DocSecurity>0</DocSecurity>
  <Lines>21</Lines>
  <Paragraphs>6</Paragraphs>
  <ScaleCrop>false</ScaleCrop>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 Viljevac</dc:creator>
  <cp:keywords/>
  <dc:description/>
  <cp:lastModifiedBy>Viktor Viljevac</cp:lastModifiedBy>
  <cp:revision>5</cp:revision>
  <dcterms:created xsi:type="dcterms:W3CDTF">2026-09-14T10:39:00Z</dcterms:created>
  <dcterms:modified xsi:type="dcterms:W3CDTF">2026-09-14T10:43:00Z</dcterms:modified>
</cp:coreProperties>
</file>