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Fukushima Nuclear Disaster </w:t>
      </w:r>
      <w:r>
        <w:rPr>
          <w:rFonts w:ascii="Times Roman" w:hAnsi="Times Roman" w:hint="default"/>
          <w:b w:val="1"/>
          <w:bCs w:val="1"/>
          <w:sz w:val="48"/>
          <w:szCs w:val="48"/>
          <w:rtl w:val="0"/>
        </w:rPr>
        <w:t xml:space="preserve">– </w:t>
      </w:r>
      <w:r>
        <w:rPr>
          <w:rFonts w:ascii="Times Roman" w:hAnsi="Times Roman"/>
          <w:b w:val="1"/>
          <w:bCs w:val="1"/>
          <w:sz w:val="48"/>
          <w:szCs w:val="48"/>
          <w:rtl w:val="0"/>
          <w:lang w:val="en-US"/>
        </w:rPr>
        <w:t>When Poor Risk Management Turned Into a Catastrophe</w:t>
      </w: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The Fukushima Nuclear Disaster was one of the most serious nuclear accidents in history and showed how natural disasters can become much more dangerous when safety systems are not prepared for extreme conditions. On 11 March 2011, a massive earthquake struck off the northeastern coast of Japan, followed by a powerful tsunami that hit the Fukushima Daiichi Nuclear Power Plant. The earthquake caused the reactors that were operating to shut down automatically, but the tsunami flooded important equipment and disabled backup power systems. Without enough electricity to operate cooling systems, several reactors began to overheat. This eventually led to hydrogen explosions and severe damage to reactor buildings, while radioactive materials were released into the surrounding environment. Large numbers of residents living near the plant were evacuated as authorities tried to control the situation and prevent further exposure. The disaster caused widespread disruption and created serious concerns about radiation, food safety, and environmental contamination. Although the earthquake and tsunami were natural events, investigations later raised questions about whether the plant had been adequately prepared for such an extreme tsunami and whether known risks had been properly addressed. The disaster therefore became not only a story about the power of nature but also about the importance of planning for risks that may seem unlikely.</w:t>
      </w:r>
    </w:p>
    <w:p>
      <w:pPr>
        <w:pStyle w:val="Default"/>
        <w:suppressAutoHyphens w:val="1"/>
        <w:spacing w:before="0" w:after="240" w:line="240" w:lineRule="auto"/>
      </w:pPr>
      <w:r>
        <w:rPr>
          <w:rFonts w:ascii="Times Roman" w:hAnsi="Times Roman"/>
          <w:sz w:val="26"/>
          <w:szCs w:val="26"/>
          <w:rtl w:val="0"/>
          <w:lang w:val="en-US"/>
        </w:rPr>
        <w:t>The Fukushima disaster also raised important questions about safety management, regulation, emergency planning, and corporate responsibility. Investigations found that there had been weaknesses in the plant's preparation for severe flooding and that important safety measures were not sufficient to prevent the loss of power and cooling after the tsunami. The disaster led Japan to review its nuclear safety standards and strengthen regulations for nuclear facilities. It also influenced discussions about nuclear energy around the world, with several countries reassessing their own nuclear safety policies and emergency procedures. Thousands of people were displaced from their homes, and many communities faced long periods of uncertainty about when they could safely return. The accident demonstrated that even a highly developed country with advanced technology can face serious consequences when multiple risks occur at the same time. Fukushima remains a powerful reminder that safety planning should consider extreme scenarios, backup systems must be protected from common points of failure, and organizations responsible for dangerous technologies must take risk management seriously. The tragedy showed that natural disasters cannot always be prevented, but the scale of their consequences can often be reduced through better preparation, stronger safety standards, and responsible decision-making.</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