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bf8b068a3fdfa48ccdf8cba28c4b37da88de13c"/>
    <w:p>
      <w:pPr>
        <w:pStyle w:val="Heading1"/>
      </w:pPr>
      <w:r>
        <w:t xml:space="preserve">Plantilla ISACA/COBIT 2019 — Monitoreo, Logs y Registro de Eventos (SIEM/SOAR)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 / 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(función)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Detectar</w:t>
            </w:r>
          </w:p>
        </w:tc>
        <w:tc>
          <w:tcPr/>
          <w:p>
            <w:pPr>
              <w:pStyle w:val="Compact"/>
            </w:pPr>
            <w:r>
              <w:t xml:space="preserve">Detección temprana de eventos y análisis continuo.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(categorías)</w:t>
            </w:r>
          </w:p>
        </w:tc>
        <w:tc>
          <w:tcPr/>
          <w:p>
            <w:pPr>
              <w:pStyle w:val="Compact"/>
            </w:pPr>
            <w:r>
              <w:t xml:space="preserve">DE-01 Anomalías y eventos, DE-02 Monitoreo continuo, DE-03 Análisis de detección</w:t>
            </w:r>
          </w:p>
        </w:tc>
        <w:tc>
          <w:tcPr/>
          <w:p>
            <w:pPr>
              <w:pStyle w:val="Compact"/>
            </w:pPr>
            <w:r>
              <w:t xml:space="preserve">Monitoreo de red, hosts y apps.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DSS04 (Continuidad y monitoreo), DSS05 (Operación de seguridad)</w:t>
            </w:r>
          </w:p>
        </w:tc>
        <w:tc>
          <w:tcPr/>
          <w:p>
            <w:pPr>
              <w:pStyle w:val="Compact"/>
            </w:pPr>
            <w:r>
              <w:t xml:space="preserve">Registro y revisión de eventos.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A.8.15 Registro y monitorización, A.8.16 Actividades de monitorización</w:t>
            </w:r>
          </w:p>
        </w:tc>
        <w:tc>
          <w:tcPr/>
          <w:p>
            <w:pPr>
              <w:pStyle w:val="Compact"/>
            </w:pPr>
            <w:r>
              <w:t xml:space="preserve">Logging, SIEM, revisión.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SP 800-92 (referencial)</w:t>
            </w:r>
          </w:p>
        </w:tc>
        <w:tc>
          <w:tcPr/>
          <w:p>
            <w:pPr>
              <w:pStyle w:val="Compact"/>
            </w:pPr>
            <w:r>
              <w:t xml:space="preserve">Guía de gestión de logs; SIEM</w:t>
            </w:r>
          </w:p>
        </w:tc>
        <w:tc>
          <w:tcPr/>
          <w:p>
            <w:pPr>
              <w:pStyle w:val="Compact"/>
            </w:pPr>
            <w:r>
              <w:t xml:space="preserve">Retención y correlación.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— Guía de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Requisitos de monitoreo y registro</w:t>
            </w:r>
          </w:p>
        </w:tc>
        <w:tc>
          <w:tcPr/>
          <w:p>
            <w:pPr>
              <w:pStyle w:val="Compact"/>
            </w:pPr>
            <w:r>
              <w:t xml:space="preserve">Monitoreo de eventos de seguridad y cambios en datos sensibles.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URCDP — Ley 18.331, Art. 9 y 12</w:t>
            </w:r>
          </w:p>
        </w:tc>
        <w:tc>
          <w:tcPr/>
          <w:p>
            <w:pPr>
              <w:pStyle w:val="Compact"/>
            </w:pPr>
            <w:r>
              <w:t xml:space="preserve">Seguridad de datos personales</w:t>
            </w:r>
          </w:p>
        </w:tc>
        <w:tc>
          <w:tcPr/>
          <w:p>
            <w:pPr>
              <w:pStyle w:val="Compact"/>
            </w:pPr>
            <w:r>
              <w:t xml:space="preserve">Registro de accesos y trazabilidad del tratamiento de datos personales.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+ BCU Com. 2026/098</w:t>
            </w:r>
          </w:p>
        </w:tc>
        <w:tc>
          <w:tcPr/>
          <w:p>
            <w:pPr>
              <w:pStyle w:val="Compact"/>
            </w:pPr>
            <w:r>
              <w:t xml:space="preserve">Evidencia del nivel de madurez en Detectar</w:t>
            </w:r>
          </w:p>
        </w:tc>
        <w:tc>
          <w:tcPr/>
          <w:p>
            <w:pPr>
              <w:pStyle w:val="Compact"/>
            </w:pPr>
            <w:r>
              <w:t xml:space="preserve">Indicadores de monitoreo.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SI-MON-07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[Nombre]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rquitectura-de-monitoreo"/>
    <w:p>
      <w:pPr>
        <w:pStyle w:val="Heading2"/>
      </w:pPr>
      <w:r>
        <w:t xml:space="preserve">1. Arquitectura de monitoreo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Herramienta utilizada (open source)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(NIDS)</w:t>
            </w:r>
          </w:p>
        </w:tc>
        <w:tc>
          <w:tcPr/>
          <w:p>
            <w:pPr>
              <w:pStyle w:val="Compact"/>
            </w:pPr>
            <w:r>
              <w:t xml:space="preserve">Suricata / Zeek / Security Onion</w:t>
            </w:r>
          </w:p>
        </w:tc>
        <w:tc>
          <w:tcPr/>
          <w:p>
            <w:pPr>
              <w:pStyle w:val="Compact"/>
            </w:pPr>
            <w:r>
              <w:t xml:space="preserve">Detección de tráfico de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(HIDS)</w:t>
            </w:r>
          </w:p>
        </w:tc>
        <w:tc>
          <w:tcPr/>
          <w:p>
            <w:pPr>
              <w:pStyle w:val="Compact"/>
            </w:pPr>
            <w:r>
              <w:t xml:space="preserve">Wazuh / OSSEC</w:t>
            </w:r>
          </w:p>
        </w:tc>
        <w:tc>
          <w:tcPr/>
          <w:p>
            <w:pPr>
              <w:pStyle w:val="Compact"/>
            </w:pPr>
            <w:r>
              <w:t xml:space="preserve">Integridad y detección en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Wazuh / ELK / Security Onion</w:t>
            </w:r>
          </w:p>
        </w:tc>
        <w:tc>
          <w:tcPr/>
          <w:p>
            <w:pPr>
              <w:pStyle w:val="Compact"/>
            </w:pPr>
            <w:r>
              <w:t xml:space="preserve">Correlación y almacenamiento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SOAR / Orquestación</w:t>
            </w:r>
          </w:p>
        </w:tc>
        <w:tc>
          <w:tcPr/>
          <w:p>
            <w:pPr>
              <w:pStyle w:val="Compact"/>
            </w:pPr>
            <w:r>
              <w:t xml:space="preserve">Wazuh Active Response / TheHive / Shuffle</w:t>
            </w:r>
          </w:p>
        </w:tc>
        <w:tc>
          <w:tcPr/>
          <w:p>
            <w:pPr>
              <w:pStyle w:val="Compact"/>
            </w:pPr>
            <w:r>
              <w:t xml:space="preserve">Respuesta automatizada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Alertmanager / Grafana / TheHive</w:t>
            </w:r>
          </w:p>
        </w:tc>
        <w:tc>
          <w:tcPr/>
          <w:p>
            <w:pPr>
              <w:pStyle w:val="Compact"/>
            </w:pPr>
            <w:r>
              <w:t xml:space="preserve">Notificación</w:t>
            </w:r>
          </w:p>
        </w:tc>
      </w:tr>
    </w:tbl>
    <w:bookmarkEnd w:id="11"/>
    <w:bookmarkStart w:id="12" w:name="fuentes-de-log"/>
    <w:p>
      <w:pPr>
        <w:pStyle w:val="Heading2"/>
      </w:pPr>
      <w:r>
        <w:t xml:space="preserve">2. Fuentes de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Eventos a registrar</w:t>
            </w:r>
          </w:p>
        </w:tc>
        <w:tc>
          <w:tcPr/>
          <w:p>
            <w:pPr>
              <w:pStyle w:val="Compact"/>
            </w:pPr>
            <w:r>
              <w:t xml:space="preserve">Relevancia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PostgreSQL/MySQL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[gestor]</w:t>
            </w:r>
          </w:p>
        </w:tc>
        <w:tc>
          <w:tcPr/>
          <w:p>
            <w:pPr>
              <w:pStyle w:val="Compact"/>
            </w:pPr>
            <w:r>
              <w:t xml:space="preserve">Conexiones, errores, DDL/DML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web /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[nginx]</w:t>
            </w:r>
          </w:p>
        </w:tc>
        <w:tc>
          <w:tcPr/>
          <w:p>
            <w:pPr>
              <w:pStyle w:val="Compact"/>
            </w:pPr>
            <w:r>
              <w:t xml:space="preserve">Accesos, códigos 4xx/5xx, intentos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[postfix/dovecot]</w:t>
            </w:r>
          </w:p>
        </w:tc>
        <w:tc>
          <w:tcPr/>
          <w:p>
            <w:pPr>
              <w:pStyle w:val="Compact"/>
            </w:pPr>
            <w:r>
              <w:t xml:space="preserve">Auth, envío, fallos TLS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 de identidad (TOTP/SSO)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[Keycloak etc.]</w:t>
            </w:r>
          </w:p>
        </w:tc>
        <w:tc>
          <w:tcPr/>
          <w:p>
            <w:pPr>
              <w:pStyle w:val="Compact"/>
            </w:pPr>
            <w:r>
              <w:t xml:space="preserve">Autenticaciones, TOTP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(servidores y clientes)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[auditd/journal]</w:t>
            </w:r>
          </w:p>
        </w:tc>
        <w:tc>
          <w:tcPr/>
          <w:p>
            <w:pPr>
              <w:pStyle w:val="Compact"/>
            </w:pPr>
            <w:r>
              <w:t xml:space="preserve">Login, sudo, cambios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bookmarkEnd w:id="12"/>
    <w:bookmarkStart w:id="13" w:name="casos-de-uso-reglas-de-detección"/>
    <w:p>
      <w:pPr>
        <w:pStyle w:val="Heading2"/>
      </w:pPr>
      <w:r>
        <w:t xml:space="preserve">3. Casos de uso / reglas de detección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Condición de alerta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CU-01</w:t>
            </w:r>
          </w:p>
        </w:tc>
        <w:tc>
          <w:tcPr/>
          <w:p>
            <w:pPr>
              <w:pStyle w:val="Compact"/>
            </w:pPr>
            <w:r>
              <w:t xml:space="preserve">Fuerza bruta SSH</w:t>
            </w:r>
          </w:p>
        </w:tc>
        <w:tc>
          <w:tcPr/>
          <w:p>
            <w:pPr>
              <w:pStyle w:val="Compact"/>
            </w:pPr>
            <w:r>
              <w:t xml:space="preserve">suricata/wazuh</w:t>
            </w:r>
          </w:p>
        </w:tc>
        <w:tc>
          <w:tcPr/>
          <w:p>
            <w:pPr>
              <w:pStyle w:val="Compact"/>
            </w:pPr>
            <w:r>
              <w:t xml:space="preserve">N intentos fallidos en X min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Bloqueo +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CU-02</w:t>
            </w:r>
          </w:p>
        </w:tc>
        <w:tc>
          <w:tcPr/>
          <w:p>
            <w:pPr>
              <w:pStyle w:val="Compact"/>
            </w:pPr>
            <w:r>
              <w:t xml:space="preserve">Cambio de password maestra</w:t>
            </w:r>
          </w:p>
        </w:tc>
        <w:tc>
          <w:tcPr/>
          <w:p>
            <w:pPr>
              <w:pStyle w:val="Compact"/>
            </w:pPr>
            <w:r>
              <w:t xml:space="preserve">gestor contraseñas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  <w:r>
              <w:t xml:space="preserve"> </w:t>
            </w:r>
            <w:r>
              <w:t xml:space="preserve">“master_password_change”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Alerta por mail, revalidación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CU-03</w:t>
            </w:r>
          </w:p>
        </w:tc>
        <w:tc>
          <w:tcPr/>
          <w:p>
            <w:pPr>
              <w:pStyle w:val="Compact"/>
            </w:pPr>
            <w:r>
              <w:t xml:space="preserve">Root login externo</w:t>
            </w:r>
          </w:p>
        </w:tc>
        <w:tc>
          <w:tcPr/>
          <w:p>
            <w:pPr>
              <w:pStyle w:val="Compact"/>
            </w:pPr>
            <w:r>
              <w:t xml:space="preserve">auditd</w:t>
            </w:r>
          </w:p>
        </w:tc>
        <w:tc>
          <w:tcPr/>
          <w:p>
            <w:pPr>
              <w:pStyle w:val="Compact"/>
            </w:pPr>
            <w:r>
              <w:t xml:space="preserve">login como root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Investigación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CU-04</w:t>
            </w:r>
          </w:p>
        </w:tc>
        <w:tc>
          <w:tcPr/>
          <w:p>
            <w:pPr>
              <w:pStyle w:val="Compact"/>
            </w:pPr>
            <w:r>
              <w:t xml:space="preserve">exfiltración de archivos</w:t>
            </w:r>
          </w:p>
        </w:tc>
        <w:tc>
          <w:tcPr/>
          <w:p>
            <w:pPr>
              <w:pStyle w:val="Compact"/>
            </w:pPr>
            <w:r>
              <w:t xml:space="preserve">suricata</w:t>
            </w:r>
          </w:p>
        </w:tc>
        <w:tc>
          <w:tcPr/>
          <w:p>
            <w:pPr>
              <w:pStyle w:val="Compact"/>
            </w:pPr>
            <w:r>
              <w:t xml:space="preserve">TLS a dominio malicioso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Análisis de SOC</w:t>
            </w:r>
          </w:p>
        </w:tc>
      </w:tr>
    </w:tbl>
    <w:bookmarkEnd w:id="13"/>
    <w:bookmarkStart w:id="14" w:name="retención-y-almacenamiento"/>
    <w:p>
      <w:pPr>
        <w:pStyle w:val="Heading2"/>
      </w:pPr>
      <w:r>
        <w:t xml:space="preserve">4. Retención y almacenamiento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Índice/log</w:t>
            </w:r>
          </w:p>
        </w:tc>
        <w:tc>
          <w:tcPr/>
          <w:p>
            <w:pPr>
              <w:pStyle w:val="Compact"/>
            </w:pPr>
            <w:r>
              <w:t xml:space="preserve">Retención online</w:t>
            </w:r>
          </w:p>
        </w:tc>
        <w:tc>
          <w:tcPr/>
          <w:p>
            <w:pPr>
              <w:pStyle w:val="Compact"/>
            </w:pPr>
            <w:r>
              <w:t xml:space="preserve">Retención fría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 SIEM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[30 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[90 d]</w:t>
            </w:r>
          </w:p>
        </w:tc>
        <w:tc>
          <w:tcPr/>
          <w:p>
            <w:pPr>
              <w:pStyle w:val="Compact"/>
            </w:pPr>
            <w:r>
              <w:t xml:space="preserve">JSON / parquet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crudos (auditd)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[30 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[180 d]</w:t>
            </w:r>
          </w:p>
        </w:tc>
        <w:tc>
          <w:tcPr/>
          <w:p>
            <w:pPr>
              <w:pStyle w:val="Compact"/>
            </w:pPr>
            <w:r>
              <w:t xml:space="preserve">Mensaje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 y casos (TheHive)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 año]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 años]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</w:tr>
    </w:tbl>
    <w:bookmarkEnd w:id="14"/>
    <w:bookmarkStart w:id="15" w:name="revisión-y-operación"/>
    <w:p>
      <w:pPr>
        <w:pStyle w:val="Heading2"/>
      </w:pPr>
      <w:r>
        <w:t xml:space="preserve">5. Revisión y operación</w:t>
      </w:r>
    </w:p>
    <w:p>
      <w:pPr>
        <w:pStyle w:val="Compact"/>
        <w:numPr>
          <w:ilvl w:val="0"/>
          <w:numId w:val="1001"/>
        </w:numPr>
      </w:pPr>
      <w:r>
        <w:t xml:space="preserve">Revisión diaria de</w:t>
      </w:r>
      <w:r>
        <w:t xml:space="preserve"> </w:t>
      </w:r>
      <w:r>
        <w:rPr>
          <w:rStyle w:val="VerbatimChar"/>
        </w:rPr>
        <w:t xml:space="preserve">[alertas/casos]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[responsable]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SLA de triage:</w:t>
      </w:r>
      <w:r>
        <w:t xml:space="preserve"> </w:t>
      </w:r>
      <w:r>
        <w:rPr>
          <w:rStyle w:val="VerbatimChar"/>
        </w:rPr>
        <w:t xml:space="preserve">[ej. alta en &lt; 1 h]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Métricas: número de eventos, alertas, falsos positivos, MTTR de detección.</w:t>
      </w:r>
    </w:p>
    <w:bookmarkEnd w:id="15"/>
    <w:bookmarkStart w:id="16" w:name="evidencias-de-detección-kpis"/>
    <w:p>
      <w:pPr>
        <w:pStyle w:val="Heading2"/>
      </w:pPr>
      <w:r>
        <w:t xml:space="preserve">6. Evidencias de detección (KPIs)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Valor medido durante la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 de anormalidad detectados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 críticas generadas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detección promedio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Falsos positivos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guía-de-llenado-blue-team"/>
    <w:p>
      <w:pPr>
        <w:pStyle w:val="Heading2"/>
      </w:pPr>
      <w:r>
        <w:t xml:space="preserve">Guía de llenado (Blue Team)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Cómo completar</w:t>
            </w:r>
          </w:p>
        </w:tc>
        <w:tc>
          <w:tcPr/>
          <w:p>
            <w:pPr>
              <w:pStyle w:val="Compact"/>
            </w:pPr>
            <w:r>
              <w:t xml:space="preserve">Con qué 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Implementación</w:t>
            </w:r>
          </w:p>
        </w:tc>
        <w:tc>
          <w:tcPr/>
          <w:p>
            <w:pPr>
              <w:pStyle w:val="Compact"/>
            </w:pPr>
            <w:r>
              <w:t xml:space="preserve">Desplegar SIEM/agentes, definir fuentes de log</w:t>
            </w:r>
          </w:p>
        </w:tc>
        <w:tc>
          <w:tcPr/>
          <w:p>
            <w:pPr>
              <w:pStyle w:val="Compact"/>
            </w:pPr>
            <w:r>
              <w:t xml:space="preserve">Capturas de paneles,</w:t>
            </w:r>
            <w:r>
              <w:t xml:space="preserve"> </w:t>
            </w:r>
            <w:r>
              <w:rPr>
                <w:rStyle w:val="VerbatimChar"/>
              </w:rPr>
              <w:t xml:space="preserve">agents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Reglas</w:t>
            </w:r>
          </w:p>
        </w:tc>
        <w:tc>
          <w:tcPr/>
          <w:p>
            <w:pPr>
              <w:pStyle w:val="Compact"/>
            </w:pPr>
            <w:r>
              <w:t xml:space="preserve">Implementar casos de uso y probarlos con ataques simulados</w:t>
            </w:r>
          </w:p>
        </w:tc>
        <w:tc>
          <w:tcPr/>
          <w:p>
            <w:pPr>
              <w:pStyle w:val="Compact"/>
            </w:pPr>
            <w:r>
              <w:t xml:space="preserve">Log de detección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Demo</w:t>
            </w:r>
          </w:p>
        </w:tc>
        <w:tc>
          <w:tcPr/>
          <w:p>
            <w:pPr>
              <w:pStyle w:val="Compact"/>
            </w:pPr>
            <w:r>
              <w:t xml:space="preserve">Generar alertas reales y registrarlas</w:t>
            </w:r>
          </w:p>
        </w:tc>
        <w:tc>
          <w:tcPr/>
          <w:p>
            <w:pPr>
              <w:pStyle w:val="Compact"/>
            </w:pPr>
            <w:r>
              <w:t xml:space="preserve">Alertas →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</w:t>
            </w:r>
          </w:p>
        </w:tc>
        <w:tc>
          <w:tcPr/>
          <w:p>
            <w:pPr>
              <w:pStyle w:val="Compact"/>
            </w:pPr>
            <w:r>
              <w:t xml:space="preserve">Provee tráfico/actividad real para medir detección</w:t>
            </w:r>
          </w:p>
        </w:tc>
        <w:tc>
          <w:tcPr/>
          <w:p>
            <w:pPr>
              <w:pStyle w:val="Compact"/>
            </w:pPr>
            <w:r>
              <w:t xml:space="preserve">Informe Red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Ajustar reglas con lecciones aprendidas</w:t>
            </w:r>
          </w:p>
        </w:tc>
        <w:tc>
          <w:tcPr/>
          <w:p>
            <w:pPr>
              <w:pStyle w:val="Compact"/>
            </w:pPr>
            <w:r>
              <w:t xml:space="preserve">Mejora continua</w:t>
            </w:r>
          </w:p>
        </w:tc>
      </w:tr>
    </w:tbl>
    <w:bookmarkEnd w:id="17"/>
    <w:bookmarkStart w:id="18" w:name="check-de-aceptación"/>
    <w:p>
      <w:pPr>
        <w:pStyle w:val="Heading2"/>
      </w:pPr>
      <w:r>
        <w:t xml:space="preserve">Check de aceptación</w:t>
      </w:r>
    </w:p>
    <w:p>
      <w:pPr>
        <w:pStyle w:val="Compact"/>
        <w:numPr>
          <w:ilvl w:val="0"/>
          <w:numId w:val="1002"/>
        </w:numPr>
      </w:pPr>
      <w:r>
        <w:t xml:space="preserve">Todos los componentes de la solución emiten logs al SIEM.</w:t>
      </w:r>
    </w:p>
    <w:p>
      <w:pPr>
        <w:pStyle w:val="Compact"/>
        <w:numPr>
          <w:ilvl w:val="0"/>
          <w:numId w:val="1003"/>
        </w:numPr>
      </w:pPr>
      <w:r>
        <w:t xml:space="preserve">Al menos 4 casos de uso implementados (incluye cambio de master password).</w:t>
      </w:r>
    </w:p>
    <w:p>
      <w:pPr>
        <w:pStyle w:val="Compact"/>
        <w:numPr>
          <w:ilvl w:val="0"/>
          <w:numId w:val="1004"/>
        </w:numPr>
      </w:pPr>
      <w:r>
        <w:t xml:space="preserve">Retención definida y respaldo de logs.</w:t>
      </w:r>
    </w:p>
    <w:p>
      <w:pPr>
        <w:pStyle w:val="Compact"/>
        <w:numPr>
          <w:ilvl w:val="0"/>
          <w:numId w:val="1005"/>
        </w:numPr>
      </w:pPr>
      <w:r>
        <w:t xml:space="preserve">Evidencia de alertas reales durante la validación.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2026-09-07T12:57:35Z</dcterms:created>
  <dcterms:modified xsi:type="dcterms:W3CDTF">2026-09-07T12:57:35Z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