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3f3f387be8cb4cd87aac2d479a2fd9abd6873c"/>
    <w:p>
      <w:pPr>
        <w:pStyle w:val="Heading1"/>
      </w:pPr>
      <w:r>
        <w:t xml:space="preserve">Plantilla ISACA/COBIT — Bitácora de Trabajo (Blue Team y Red Team)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bitácora</w:t>
      </w:r>
      <w:r>
        <w:t xml:space="preserve"> </w:t>
      </w:r>
      <w:r>
        <w:t xml:space="preserve">es el registro cronológico y diario del trabajo realizado. Sirve como</w:t>
      </w:r>
      <w:r>
        <w:t xml:space="preserve"> </w:t>
      </w:r>
      <w:r>
        <w:rPr>
          <w:b/>
          <w:bCs/>
        </w:rPr>
        <w:t xml:space="preserve">evidencia de ejecución</w:t>
      </w:r>
      <w:r>
        <w:t xml:space="preserve"> </w:t>
      </w:r>
      <w:r>
        <w:t xml:space="preserve">para la auditoría: demuestra que el equipo</w:t>
      </w:r>
      <w:r>
        <w:t xml:space="preserve"> </w:t>
      </w:r>
      <w:r>
        <w:rPr>
          <w:i/>
          <w:iCs/>
        </w:rPr>
        <w:t xml:space="preserve">hizo</w:t>
      </w:r>
      <w:r>
        <w:t xml:space="preserve"> </w:t>
      </w:r>
      <w:r>
        <w:t xml:space="preserve">su trabajo, no solo que lo</w:t>
      </w:r>
      <w:r>
        <w:t xml:space="preserve"> </w:t>
      </w:r>
      <w:r>
        <w:rPr>
          <w:i/>
          <w:iCs/>
        </w:rPr>
        <w:t xml:space="preserve">dice</w:t>
      </w:r>
      <w:r>
        <w:t xml:space="preserve"> </w:t>
      </w:r>
      <w:r>
        <w:t xml:space="preserve">en un informe.</w:t>
      </w:r>
      <w:r>
        <w:t xml:space="preserve"> </w:t>
      </w:r>
      <w:r>
        <w:t xml:space="preserve">Es obligatorio su uso en ambas partes (Blue Team y Red Team) de las tres tareas.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Gobernar</w:t>
            </w:r>
            <w:r>
              <w:t xml:space="preserve"> </w:t>
            </w:r>
            <w:r>
              <w:t xml:space="preserve">(GV-04) /</w:t>
            </w:r>
            <w:r>
              <w:t xml:space="preserve"> </w:t>
            </w:r>
            <w:r>
              <w:rPr>
                <w:b/>
                <w:bCs/>
              </w:rPr>
              <w:t xml:space="preserve">Responder</w:t>
            </w:r>
            <w:r>
              <w:t xml:space="preserve"> </w:t>
            </w:r>
            <w:r>
              <w:t xml:space="preserve">(RS-05)</w:t>
            </w:r>
          </w:p>
        </w:tc>
        <w:tc>
          <w:tcPr/>
          <w:p>
            <w:pPr>
              <w:pStyle w:val="Compact"/>
            </w:pPr>
            <w:r>
              <w:t xml:space="preserve">Evidencia de ejecución, trazabilidad y mejora continua.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GSI</w:t>
            </w:r>
          </w:p>
        </w:tc>
        <w:tc>
          <w:tcPr/>
          <w:p>
            <w:pPr>
              <w:pStyle w:val="Compact"/>
            </w:pPr>
            <w:r>
              <w:t xml:space="preserve">Requisito de documentación y trazabilidad</w:t>
            </w:r>
          </w:p>
        </w:tc>
        <w:tc>
          <w:tcPr/>
          <w:p>
            <w:pPr>
              <w:pStyle w:val="Compact"/>
            </w:pPr>
            <w:r>
              <w:t xml:space="preserve">Registro verificable de las actividades de seguridad.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18.331, Art. 9</w:t>
            </w:r>
          </w:p>
        </w:tc>
        <w:tc>
          <w:tcPr/>
          <w:p>
            <w:pPr>
              <w:pStyle w:val="Compact"/>
            </w:pPr>
            <w:r>
              <w:t xml:space="preserve">Due diligence en tratamiento de datos</w:t>
            </w:r>
          </w:p>
        </w:tc>
        <w:tc>
          <w:tcPr/>
          <w:p>
            <w:pPr>
              <w:pStyle w:val="Compact"/>
            </w:pPr>
            <w:r>
              <w:t xml:space="preserve">La bitácora documenta decisiones sobre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A.5.1, A.5.24, A.8.15</w:t>
            </w:r>
          </w:p>
        </w:tc>
        <w:tc>
          <w:tcPr/>
          <w:p>
            <w:pPr>
              <w:pStyle w:val="Compact"/>
            </w:pPr>
            <w:r>
              <w:t xml:space="preserve">Evidencias del SGSI.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MEA01 (Supervisión y evaluación)</w:t>
            </w:r>
          </w:p>
        </w:tc>
        <w:tc>
          <w:tcPr/>
          <w:p>
            <w:pPr>
              <w:pStyle w:val="Compact"/>
            </w:pPr>
            <w:r>
              <w:t xml:space="preserve">Registro auditable del desempeño.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SI-BIT-99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[Equipo / miembro]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[desde] → [hasta]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glas-de-la-bitácora-cómo-hacerla-bien"/>
    <w:p>
      <w:pPr>
        <w:pStyle w:val="Heading2"/>
      </w:pPr>
      <w:r>
        <w:t xml:space="preserve">1. Reglas de la bitácora (cómo hacerla bien)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diario</w:t>
            </w:r>
          </w:p>
        </w:tc>
        <w:tc>
          <w:tcPr/>
          <w:p>
            <w:pPr>
              <w:pStyle w:val="Compact"/>
            </w:pPr>
            <w:r>
              <w:t xml:space="preserve">Se debe cargar</w:t>
            </w:r>
            <w:r>
              <w:t xml:space="preserve"> </w:t>
            </w:r>
            <w:r>
              <w:rPr>
                <w:b/>
                <w:bCs/>
              </w:rPr>
              <w:t xml:space="preserve">el mismo día</w:t>
            </w:r>
            <w:r>
              <w:t xml:space="preserve"> </w:t>
            </w:r>
            <w:r>
              <w:t xml:space="preserve">en que se realizó el trabajo. Una bitácora escrita completa la noche anterior a la entrega no tiene valor de evidencia.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la escribe</w:t>
            </w:r>
          </w:p>
        </w:tc>
        <w:tc>
          <w:tcPr/>
          <w:p>
            <w:pPr>
              <w:pStyle w:val="Compact"/>
            </w:pPr>
            <w:r>
              <w:t xml:space="preserve">La escribe</w:t>
            </w:r>
            <w:r>
              <w:t xml:space="preserve"> </w:t>
            </w:r>
            <w:r>
              <w:rPr>
                <w:b/>
                <w:bCs/>
              </w:rPr>
              <w:t xml:space="preserve">cada miembro</w:t>
            </w:r>
            <w:r>
              <w:t xml:space="preserve"> </w:t>
            </w:r>
            <w:r>
              <w:t xml:space="preserve">por su trabajo, o el líder del día; se firma con nombre.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registrar</w:t>
            </w:r>
          </w:p>
        </w:tc>
        <w:tc>
          <w:tcPr/>
          <w:p>
            <w:pPr>
              <w:pStyle w:val="Compact"/>
            </w:pPr>
            <w:r>
              <w:t xml:space="preserve">Tarea concreta, comando/implementación realizada, resultado obtenido, hallazgo, tiempo dedicado.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Evidencia anexa</w:t>
            </w:r>
          </w:p>
        </w:tc>
        <w:tc>
          <w:tcPr/>
          <w:p>
            <w:pPr>
              <w:pStyle w:val="Compact"/>
            </w:pPr>
            <w:r>
              <w:t xml:space="preserve">Cada entrada puede referenciar el archivo de evidencia real (</w:t>
            </w:r>
            <w:r>
              <w:rPr>
                <w:rStyle w:val="VerbatimChar"/>
              </w:rPr>
              <w:t xml:space="preserve">docs/evidencias/…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omitir fallos</w:t>
            </w:r>
          </w:p>
        </w:tc>
        <w:tc>
          <w:tcPr/>
          <w:p>
            <w:pPr>
              <w:pStyle w:val="Compact"/>
            </w:pPr>
            <w:r>
              <w:t xml:space="preserve">Los errores, intentos fallidos y retrabajos también se registran: en la auditoría, un fallo registrado y corregido</w:t>
            </w:r>
            <w:r>
              <w:t xml:space="preserve"> </w:t>
            </w:r>
            <w:r>
              <w:rPr>
                <w:b/>
                <w:bCs/>
              </w:rPr>
              <w:t xml:space="preserve">suma</w:t>
            </w:r>
            <w:r>
              <w:t xml:space="preserve">, no resta.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únicas</w:t>
            </w:r>
          </w:p>
        </w:tc>
        <w:tc>
          <w:tcPr/>
          <w:p>
            <w:pPr>
              <w:pStyle w:val="Compact"/>
            </w:pPr>
            <w:r>
              <w:t xml:space="preserve">Usar fecha/hora con zona horaria; recomendar UTC en tareas con SIEM.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Inmutabilidad</w:t>
            </w:r>
          </w:p>
        </w:tc>
        <w:tc>
          <w:tcPr/>
          <w:p>
            <w:pPr>
              <w:pStyle w:val="Compact"/>
            </w:pPr>
            <w:r>
              <w:t xml:space="preserve">Una vez cerrado el día, no modificar la entrada; las correcciones se agregan como nuevas filas al día siguiente.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Versiones</w:t>
            </w:r>
          </w:p>
        </w:tc>
        <w:tc>
          <w:tcPr/>
          <w:p>
            <w:pPr>
              <w:pStyle w:val="Compact"/>
            </w:pPr>
            <w:r>
              <w:t xml:space="preserve">Guardar la bitácora como parte del repositorio (o como hoja del Excel).</w:t>
            </w:r>
          </w:p>
        </w:tc>
      </w:tr>
    </w:tbl>
    <w:bookmarkEnd w:id="11"/>
    <w:bookmarkStart w:id="12" w:name="estructura-de-la-entrada-de-bitácora"/>
    <w:p>
      <w:pPr>
        <w:pStyle w:val="Heading2"/>
      </w:pPr>
      <w:r>
        <w:t xml:space="preserve">2. Estructura de la entrada de bitácora</w:t>
      </w:r>
    </w:p>
    <w:p>
      <w:pPr>
        <w:pStyle w:val="FirstParagraph"/>
      </w:pPr>
      <w:r>
        <w:t xml:space="preserve">Para formato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usar por entrada: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Fecha: DD/MM/AAAA</w:t>
      </w:r>
      <w:r>
        <w:br/>
      </w:r>
      <w:r>
        <w:rPr>
          <w:rStyle w:val="VerbatimChar"/>
        </w:rPr>
        <w:t xml:space="preserve">Equipo: [Blue | Red]</w:t>
      </w:r>
      <w:r>
        <w:br/>
      </w:r>
      <w:r>
        <w:rPr>
          <w:rStyle w:val="VerbatimChar"/>
        </w:rPr>
        <w:t xml:space="preserve">Responsable: [Nombre]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Actividad: [Título corto]</w:t>
      </w:r>
      <w:r>
        <w:br/>
      </w:r>
      <w:r>
        <w:br/>
      </w:r>
      <w:r>
        <w:rPr>
          <w:rStyle w:val="VerbatimChar"/>
        </w:rPr>
        <w:t xml:space="preserve">- **Fase**: [Diseño / Implementación / Prueba / Ataque / Documentación / Auditoría]</w:t>
      </w:r>
      <w:r>
        <w:br/>
      </w:r>
      <w:r>
        <w:rPr>
          <w:rStyle w:val="VerbatimChar"/>
        </w:rPr>
        <w:t xml:space="preserve">- **Duración**: [horas]</w:t>
      </w:r>
      <w:r>
        <w:br/>
      </w:r>
      <w:r>
        <w:rPr>
          <w:rStyle w:val="VerbatimChar"/>
        </w:rPr>
        <w:t xml:space="preserve">- **Tarea realizada**: [qué se hizo, con detalle técnico]</w:t>
      </w:r>
      <w:r>
        <w:br/>
      </w:r>
      <w:r>
        <w:rPr>
          <w:rStyle w:val="VerbatimChar"/>
        </w:rPr>
        <w:t xml:space="preserve">- **Herramienta / comando**: [ej.: docker compose up -d; nmap -sV 192.168.1.10]</w:t>
      </w:r>
      <w:r>
        <w:br/>
      </w:r>
      <w:r>
        <w:rPr>
          <w:rStyle w:val="VerbatimChar"/>
        </w:rPr>
        <w:t xml:space="preserve">- **Resultado**: [éxito / parcial / fallido + descripción]</w:t>
      </w:r>
      <w:r>
        <w:br/>
      </w:r>
      <w:r>
        <w:rPr>
          <w:rStyle w:val="VerbatimChar"/>
        </w:rPr>
        <w:t xml:space="preserve">- **Evidencia anexa**: [ruta a docs/evidencias/...]</w:t>
      </w:r>
      <w:r>
        <w:br/>
      </w:r>
      <w:r>
        <w:rPr>
          <w:rStyle w:val="VerbatimChar"/>
        </w:rPr>
        <w:t xml:space="preserve">- **Incidencia / hallazgo**: [si hubo]</w:t>
      </w:r>
      <w:r>
        <w:br/>
      </w:r>
      <w:r>
        <w:rPr>
          <w:rStyle w:val="VerbatimChar"/>
        </w:rPr>
        <w:t xml:space="preserve">- **Observaciones**: [contexto adicional, decisión tomada]</w:t>
      </w:r>
    </w:p>
    <w:bookmarkEnd w:id="12"/>
    <w:bookmarkStart w:id="13" w:name="formato-excel-alternativo"/>
    <w:p>
      <w:pPr>
        <w:pStyle w:val="Heading2"/>
      </w:pPr>
      <w:r>
        <w:t xml:space="preserve">3. Formato Excel (alternativo)</w:t>
      </w:r>
    </w:p>
    <w:p>
      <w:pPr>
        <w:pStyle w:val="FirstParagraph"/>
      </w:pPr>
      <w:r>
        <w:t xml:space="preserve">Se completa con las columnas</w:t>
      </w:r>
      <w:r>
        <w:t xml:space="preserve"> </w:t>
      </w:r>
      <w:r>
        <w:rPr>
          <w:rStyle w:val="VerbatimChar"/>
        </w:rPr>
        <w:t xml:space="preserve">04-bitacora-planilla.xlsx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Herramienta/Comando</w:t>
            </w:r>
          </w:p>
        </w:tc>
        <w:tc>
          <w:tcPr/>
          <w:p>
            <w:pPr>
              <w:pStyle w:val="Compact"/>
            </w:pPr>
            <w:r>
              <w:t xml:space="preserve">Resultado/Evidencia</w:t>
            </w:r>
          </w:p>
        </w:tc>
        <w:tc>
          <w:tcPr/>
          <w:p>
            <w:pPr>
              <w:pStyle w:val="Compact"/>
            </w:pPr>
            <w:r>
              <w:t xml:space="preserve">Incidencia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</w:tbl>
    <w:bookmarkEnd w:id="13"/>
    <w:bookmarkStart w:id="14" w:name="ejemplo-de-entrada-bien-llenada"/>
    <w:p>
      <w:pPr>
        <w:pStyle w:val="Heading2"/>
      </w:pPr>
      <w:r>
        <w:t xml:space="preserve">4. Ejemplo de entrada bien llenada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</w:t>
      </w:r>
      <w:r>
        <w:t xml:space="preserve">: 14/09/2026 —</w:t>
      </w:r>
      <w:r>
        <w:t xml:space="preserve"> </w:t>
      </w:r>
      <w:r>
        <w:rPr>
          <w:b/>
          <w:bCs/>
        </w:rPr>
        <w:t xml:space="preserve">Equipo</w:t>
      </w:r>
      <w:r>
        <w:t xml:space="preserve">: Blue —</w:t>
      </w:r>
      <w:r>
        <w:t xml:space="preserve"> </w:t>
      </w:r>
      <w:r>
        <w:rPr>
          <w:b/>
          <w:bCs/>
        </w:rPr>
        <w:t xml:space="preserve">Responsable</w:t>
      </w:r>
      <w:r>
        <w:t xml:space="preserve">: M. López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</w:t>
      </w:r>
      <w:r>
        <w:t xml:space="preserve">: Implementación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Tarea</w:t>
      </w:r>
      <w:r>
        <w:t xml:space="preserve">: Despliegue del control central y primer evento firmado.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Herramienta/Comando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compose -f control-central/compose.yml up -d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</w:t>
      </w:r>
      <w:r>
        <w:t xml:space="preserve">: Éxito. API operando en</w:t>
      </w:r>
      <w:r>
        <w:t xml:space="preserve"> </w:t>
      </w:r>
      <w:r>
        <w:rPr>
          <w:rStyle w:val="VerbatimChar"/>
        </w:rPr>
        <w:t xml:space="preserve">https://192.168.10.20:8443</w:t>
      </w:r>
      <w:r>
        <w:t xml:space="preserve">; se generó el primer evento de alta de contraseña y llegó al SIEM (Wazuh, índice</w:t>
      </w:r>
      <w:r>
        <w:t xml:space="preserve"> </w:t>
      </w:r>
      <w:r>
        <w:rPr>
          <w:rStyle w:val="VerbatimChar"/>
        </w:rPr>
        <w:t xml:space="preserve">wazuh-alerts-*</w:t>
      </w:r>
      <w:r>
        <w:t xml:space="preserve">). El correo de notificación se recibió en</w:t>
      </w:r>
      <w:r>
        <w:t xml:space="preserve"> </w:t>
      </w:r>
      <w:r>
        <w:rPr>
          <w:rStyle w:val="VerbatimChar"/>
        </w:rPr>
        <w:t xml:space="preserve">rsi@correo.local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anexa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docs/evidencias/2026-09-14-evento-alta.png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Incidencia</w:t>
      </w:r>
      <w:r>
        <w:t xml:space="preserve">: En el primer intento el SMTP rechazó la conexión por falta de TLS (error 530 5.7.1). Se corrigió configurando</w:t>
      </w:r>
      <w:r>
        <w:t xml:space="preserve"> </w:t>
      </w:r>
      <w:r>
        <w:rPr>
          <w:rStyle w:val="VerbatimChar"/>
        </w:rPr>
        <w:t xml:space="preserve">smtpd_tls_cert_file</w:t>
      </w:r>
      <w:r>
        <w:t xml:space="preserve"> </w:t>
      </w:r>
      <w:r>
        <w:t xml:space="preserve">y se normalizó.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Observaciones</w:t>
      </w:r>
      <w:r>
        <w:t xml:space="preserve">: Se dejará como alerta crítica para el Red Team el cambio de la contraseña maestra.</w:t>
      </w:r>
    </w:p>
    <w:bookmarkEnd w:id="14"/>
    <w:bookmarkStart w:id="15" w:name="bitácora-en-la-auditoría"/>
    <w:p>
      <w:pPr>
        <w:pStyle w:val="Heading2"/>
      </w:pPr>
      <w:r>
        <w:t xml:space="preserve">5. Bitácora en la auditoría</w:t>
      </w:r>
    </w:p>
    <w:p>
      <w:pPr>
        <w:pStyle w:val="Compact"/>
        <w:numPr>
          <w:ilvl w:val="0"/>
          <w:numId w:val="1002"/>
        </w:numPr>
      </w:pPr>
      <w:r>
        <w:t xml:space="preserve">Al presentar cada control, el equipo debe mostrar</w:t>
      </w:r>
      <w:r>
        <w:t xml:space="preserve"> </w:t>
      </w:r>
      <w:r>
        <w:rPr>
          <w:b/>
          <w:bCs/>
        </w:rPr>
        <w:t xml:space="preserve">la entrada de bitácora</w:t>
      </w:r>
      <w:r>
        <w:t xml:space="preserve"> </w:t>
      </w:r>
      <w:r>
        <w:t xml:space="preserve">que corresponde a la evidencia (motor de validación de autenticidad).</w:t>
      </w:r>
    </w:p>
    <w:p>
      <w:pPr>
        <w:pStyle w:val="Compact"/>
        <w:numPr>
          <w:ilvl w:val="0"/>
          <w:numId w:val="1002"/>
        </w:numPr>
      </w:pPr>
      <w:r>
        <w:t xml:space="preserve">El Red Team debe mantener bitácora de</w:t>
      </w:r>
      <w:r>
        <w:t xml:space="preserve"> </w:t>
      </w:r>
      <w:r>
        <w:rPr>
          <w:b/>
          <w:bCs/>
        </w:rPr>
        <w:t xml:space="preserve">cada intento de ataque</w:t>
      </w:r>
      <w:r>
        <w:t xml:space="preserve"> </w:t>
      </w:r>
      <w:r>
        <w:t xml:space="preserve">(fase, herramienta, resultado), cerrando el ciclo con la respuesta del Blue Team.</w:t>
      </w:r>
    </w:p>
    <w:p>
      <w:pPr>
        <w:pStyle w:val="Compact"/>
        <w:numPr>
          <w:ilvl w:val="0"/>
          <w:numId w:val="1002"/>
        </w:numPr>
      </w:pPr>
      <w:r>
        <w:t xml:space="preserve">La bitácora se incluye en la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 cada tarea y en el tag de entrega.</w:t>
      </w:r>
    </w:p>
    <w:bookmarkEnd w:id="15"/>
    <w:bookmarkStart w:id="16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Registro diario sin lagunas superiores a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días.</w:t>
      </w:r>
    </w:p>
    <w:p>
      <w:pPr>
        <w:pStyle w:val="Compact"/>
        <w:numPr>
          <w:ilvl w:val="0"/>
          <w:numId w:val="1004"/>
        </w:numPr>
      </w:pPr>
      <w:r>
        <w:t xml:space="preserve">Cada miembro firma sus entradas.</w:t>
      </w:r>
    </w:p>
    <w:p>
      <w:pPr>
        <w:pStyle w:val="Compact"/>
        <w:numPr>
          <w:ilvl w:val="0"/>
          <w:numId w:val="1005"/>
        </w:numPr>
      </w:pPr>
      <w:r>
        <w:t xml:space="preserve">Cada hallazgo del Red Team tiene su bitácora de ataque.</w:t>
      </w:r>
    </w:p>
    <w:p>
      <w:pPr>
        <w:pStyle w:val="Compact"/>
        <w:numPr>
          <w:ilvl w:val="0"/>
          <w:numId w:val="1006"/>
        </w:numPr>
      </w:pPr>
      <w:r>
        <w:t xml:space="preserve">Cada control auditado puede relacionarse con una o más entradas de bitácora.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2026-09-07T12:57:35Z</dcterms:created>
  <dcterms:modified xsi:type="dcterms:W3CDTF">2026-09-07T12:57:35Z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