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9133d3f474b33e1b60102d2c27cfc6f4d0d241"/>
    <w:p>
      <w:pPr>
        <w:pStyle w:val="Heading1"/>
      </w:pPr>
      <w:r>
        <w:t xml:space="preserve">BCU — Guía de Seguridad de la Información y Requerimientos Mínimos para el Sistema Financiero</w:t>
      </w:r>
    </w:p>
    <w:p>
      <w:pPr>
        <w:pStyle w:val="FirstParagraph"/>
      </w:pPr>
      <w:r>
        <w:t xml:space="preserve">Documento de referencia del</w:t>
      </w:r>
      <w:r>
        <w:t xml:space="preserve"> </w:t>
      </w:r>
      <w:r>
        <w:rPr>
          <w:b/>
          <w:bCs/>
        </w:rPr>
        <w:t xml:space="preserve">Banco Central del Uruguay (BCU)</w:t>
      </w:r>
      <w:r>
        <w:t xml:space="preserve"> </w:t>
      </w:r>
      <w:r>
        <w:t xml:space="preserve">para las tres tareas.</w:t>
      </w:r>
    </w:p>
    <w:p>
      <w:r>
        <w:pict>
          <v:rect style="width:0;height:1.5pt" o:hralign="center" o:hrstd="t" o:hr="t"/>
        </w:pict>
      </w:r>
    </w:p>
    <w:bookmarkStart w:id="9" w:name="X2e5e130350b40219b9b2dc1f96bb5195cfa41a3"/>
    <w:p>
      <w:pPr>
        <w:pStyle w:val="Heading2"/>
      </w:pPr>
      <w:r>
        <w:t xml:space="preserve">1. Marco normativo para el sistema financiero</w:t>
      </w:r>
    </w:p>
    <w:p>
      <w:pPr>
        <w:pStyle w:val="FirstParagraph"/>
      </w:pPr>
      <w:r>
        <w:t xml:space="preserve">El BCU fue elevando estándares de ciberseguridad para el sistema financiero. Las instituciones supervisadas (bancos, instituciones de intermediación financiera, emisores de dinero electrónico, etc.) deben:</w:t>
      </w:r>
    </w:p>
    <w:p>
      <w:pPr>
        <w:pStyle w:val="Compact"/>
        <w:numPr>
          <w:ilvl w:val="0"/>
          <w:numId w:val="1001"/>
        </w:numPr>
      </w:pPr>
      <w:r>
        <w:t xml:space="preserve">Documentar y aprobar por la Alta Dirección una</w:t>
      </w:r>
      <w:r>
        <w:t xml:space="preserve"> </w:t>
      </w:r>
      <w:r>
        <w:rPr>
          <w:b/>
          <w:bCs/>
        </w:rPr>
        <w:t xml:space="preserve">Gestión de Seguridad de la Información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Adoptar prácticas de referencia internacional: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ISO/IEC 27001:2013/2022</w:t>
      </w:r>
      <w:r>
        <w:t xml:space="preserve"> </w:t>
      </w:r>
      <w:r>
        <w:t xml:space="preserve">(SGSI).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COBIT 5/2019 para Seguridad de la Información</w:t>
      </w:r>
      <w:r>
        <w:t xml:space="preserve"> </w:t>
      </w:r>
      <w:r>
        <w:t xml:space="preserve">(gobernanza y gestión de TI).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NIST SP 800-53</w:t>
      </w:r>
      <w:r>
        <w:t xml:space="preserve"> </w:t>
      </w:r>
      <w:r>
        <w:t xml:space="preserve">(catálogo de controles).</w:t>
      </w:r>
    </w:p>
    <w:p>
      <w:pPr>
        <w:pStyle w:val="Compact"/>
        <w:numPr>
          <w:ilvl w:val="0"/>
          <w:numId w:val="1001"/>
        </w:numPr>
      </w:pPr>
      <w:r>
        <w:t xml:space="preserve">Reportar periódicamente el</w:t>
      </w:r>
      <w:r>
        <w:t xml:space="preserve"> </w:t>
      </w:r>
      <w:r>
        <w:rPr>
          <w:b/>
          <w:bCs/>
        </w:rPr>
        <w:t xml:space="preserve">nivel de madurez y cumplimiento del MCU 5.0 (AGESIC)</w:t>
      </w:r>
      <w:r>
        <w:t xml:space="preserve">.</w:t>
      </w:r>
    </w:p>
    <w:bookmarkEnd w:id="9"/>
    <w:bookmarkStart w:id="10" w:name="X818b9b493464e4311e5d86d034c9df9d1c7c895"/>
    <w:p>
      <w:pPr>
        <w:pStyle w:val="Heading2"/>
      </w:pPr>
      <w:r>
        <w:t xml:space="preserve">2. Comunicación BCU 2026/098 (mayo 2026) — Cumplimiento MCU 5.0</w:t>
      </w:r>
    </w:p>
    <w:p>
      <w:pPr>
        <w:pStyle w:val="FirstParagraph"/>
      </w:pPr>
      <w:r>
        <w:t xml:space="preserve">Aplicable a</w:t>
      </w:r>
      <w:r>
        <w:t xml:space="preserve"> </w:t>
      </w:r>
      <w:r>
        <w:rPr>
          <w:b/>
          <w:bCs/>
        </w:rPr>
        <w:t xml:space="preserve">instituciones emisoras de dinero electrónico</w:t>
      </w:r>
      <w:r>
        <w:t xml:space="preserve"> </w:t>
      </w:r>
      <w:r>
        <w:t xml:space="preserve">(y extendido progresivamente a otros actores del sistema financiero):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Reporte trimestral de nivel de madurez y cumplimiento del</w:t>
            </w:r>
            <w:r>
              <w:t xml:space="preserve"> </w:t>
            </w:r>
            <w:r>
              <w:rPr>
                <w:b/>
                <w:bCs/>
              </w:rPr>
              <w:t xml:space="preserve">MCU 5.0</w:t>
            </w:r>
            <w:r>
              <w:t xml:space="preserve"> </w:t>
            </w:r>
            <w:r>
              <w:t xml:space="preserve">y sistema de pagos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XML, Anexos 1 a 5 de la Comunicación 2026/098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957 - Cumplimiento MCU 5.0 - Nivel de Madurez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7 días hábiles del mes siguiente al cierre de cada trimestre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Portal IDI (Sistema de Envío Centralizado del BCU)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Desde junio de 2026</w:t>
            </w:r>
          </w:p>
        </w:tc>
      </w:tr>
    </w:tbl>
    <w:p>
      <w:pPr>
        <w:pStyle w:val="BlockText"/>
      </w:pPr>
      <w:r>
        <w:t xml:space="preserve">Para el curso: los equipos deben preparar el</w:t>
      </w:r>
      <w:r>
        <w:t xml:space="preserve"> </w:t>
      </w:r>
      <w:r>
        <w:rPr>
          <w:b/>
          <w:bCs/>
        </w:rPr>
        <w:t xml:space="preserve">conjunto de evidencia y métricas</w:t>
      </w:r>
      <w:r>
        <w:t xml:space="preserve"> </w:t>
      </w:r>
      <w:r>
        <w:t xml:space="preserve">que permitiría a la organización completar este reporte, aunque no lo envíen realmente.</w:t>
      </w:r>
    </w:p>
    <w:bookmarkEnd w:id="10"/>
    <w:bookmarkStart w:id="11" w:name="X4fb90ed882776732b98c758031e6a1c585fe9db"/>
    <w:p>
      <w:pPr>
        <w:pStyle w:val="Heading2"/>
      </w:pPr>
      <w:r>
        <w:t xml:space="preserve">3. Requerimientos mínimos de seguridad de la información (síntesis de la GSI BCU)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Política formal de seguridad</w:t>
            </w:r>
          </w:p>
        </w:tc>
        <w:tc>
          <w:tcPr/>
          <w:p>
            <w:pPr>
              <w:pStyle w:val="Compact"/>
            </w:pPr>
            <w:r>
              <w:t xml:space="preserve">Aprobada por la dirección, comunicada, revisada.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Responsable de Seguridad de la Información (RSI)</w:t>
            </w:r>
          </w:p>
        </w:tc>
        <w:tc>
          <w:tcPr/>
          <w:p>
            <w:pPr>
              <w:pStyle w:val="Compact"/>
            </w:pPr>
            <w:r>
              <w:t xml:space="preserve">Rol designado con autoridad y recursos.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Análisis de riesgos periódico</w:t>
            </w:r>
          </w:p>
        </w:tc>
        <w:tc>
          <w:tcPr/>
          <w:p>
            <w:pPr>
              <w:pStyle w:val="Compact"/>
            </w:pPr>
            <w:r>
              <w:t xml:space="preserve">Metodología ISO 31000, documentado y revisado por dirección.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Gestión de accesos y privilegios</w:t>
            </w:r>
          </w:p>
        </w:tc>
        <w:tc>
          <w:tcPr/>
          <w:p>
            <w:pPr>
              <w:pStyle w:val="Compact"/>
            </w:pPr>
            <w:r>
              <w:t xml:space="preserve">Mínimo privilegio; revisión periódica.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 de dos factores</w:t>
            </w:r>
          </w:p>
        </w:tc>
        <w:tc>
          <w:tcPr/>
          <w:p>
            <w:pPr>
              <w:pStyle w:val="Compact"/>
            </w:pPr>
            <w:r>
              <w:t xml:space="preserve">Obligatoria para transferencias, pagos a terceros y operaciones de alto valor.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Controles criptográficos</w:t>
            </w:r>
          </w:p>
        </w:tc>
        <w:tc>
          <w:tcPr/>
          <w:p>
            <w:pPr>
              <w:pStyle w:val="Compact"/>
            </w:pPr>
            <w:r>
              <w:t xml:space="preserve">Uso de criptografía robusta y gestión de claves.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 diarios</w:t>
            </w:r>
          </w:p>
        </w:tc>
        <w:tc>
          <w:tcPr/>
          <w:p>
            <w:pPr>
              <w:pStyle w:val="Compact"/>
            </w:pPr>
            <w:r>
              <w:t xml:space="preserve">Copia diaria de los datos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Copia fuera del centro de procesamiento</w:t>
            </w:r>
          </w:p>
        </w:tc>
        <w:tc>
          <w:tcPr/>
          <w:p>
            <w:pPr>
              <w:pStyle w:val="Compact"/>
            </w:pPr>
            <w:r>
              <w:t xml:space="preserve">Respaldo en ubicación física separada del sitio 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Restauración validada periódicamente</w:t>
            </w:r>
          </w:p>
        </w:tc>
        <w:tc>
          <w:tcPr/>
          <w:p>
            <w:pPr>
              <w:pStyle w:val="Compact"/>
            </w:pPr>
            <w:r>
              <w:t xml:space="preserve">Pruebas de restauración documentadas.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Monitoreo de cambios en datos sensibles</w:t>
            </w:r>
          </w:p>
        </w:tc>
        <w:tc>
          <w:tcPr/>
          <w:p>
            <w:pPr>
              <w:pStyle w:val="Compact"/>
            </w:pPr>
            <w:r>
              <w:t xml:space="preserve">Registro y control de cambios en identificación, dirección, teléfono y correo de clientes.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Sistema de detección y prevención de intrusiones</w:t>
            </w:r>
          </w:p>
        </w:tc>
        <w:tc>
          <w:tcPr/>
          <w:p>
            <w:pPr>
              <w:pStyle w:val="Compact"/>
            </w:pPr>
            <w:r>
              <w:t xml:space="preserve">IDS/IPS y monitoreo de eventos.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Gestión de vulnerabilidades y parches</w:t>
            </w:r>
          </w:p>
        </w:tc>
        <w:tc>
          <w:tcPr/>
          <w:p>
            <w:pPr>
              <w:pStyle w:val="Compact"/>
            </w:pPr>
            <w:r>
              <w:t xml:space="preserve">Escaneos periódicos, remediación con plazos.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Gestión de incidentes y notificación</w:t>
            </w:r>
          </w:p>
        </w:tc>
        <w:tc>
          <w:tcPr/>
          <w:p>
            <w:pPr>
              <w:pStyle w:val="Compact"/>
            </w:pPr>
            <w:r>
              <w:t xml:space="preserve">Procedimiento, escalamiento y</w:t>
            </w:r>
            <w:r>
              <w:t xml:space="preserve"> </w:t>
            </w:r>
            <w:r>
              <w:rPr>
                <w:b/>
                <w:bCs/>
              </w:rPr>
              <w:t xml:space="preserve">notificación de incidentes relevantes al BCU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Plan de continuidad</w:t>
            </w:r>
          </w:p>
        </w:tc>
        <w:tc>
          <w:tcPr/>
          <w:p>
            <w:pPr>
              <w:pStyle w:val="Compact"/>
            </w:pPr>
            <w:r>
              <w:t xml:space="preserve">BCP/DRP probado; RTO/RPO definidos.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Capacitación y concientización</w:t>
            </w:r>
          </w:p>
        </w:tc>
        <w:tc>
          <w:tcPr/>
          <w:p>
            <w:pPr>
              <w:pStyle w:val="Compact"/>
            </w:pPr>
            <w:r>
              <w:t xml:space="preserve">Programa continuo para el personal.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Logs y retención</w:t>
            </w:r>
          </w:p>
        </w:tc>
        <w:tc>
          <w:tcPr/>
          <w:p>
            <w:pPr>
              <w:pStyle w:val="Compact"/>
            </w:pPr>
            <w:r>
              <w:t xml:space="preserve">Registro de eventos con retención definida.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Gestión de proveedores y terceros</w:t>
            </w:r>
          </w:p>
        </w:tc>
        <w:tc>
          <w:tcPr/>
          <w:p>
            <w:pPr>
              <w:pStyle w:val="Compact"/>
            </w:pPr>
            <w:r>
              <w:t xml:space="preserve">Evaluar la seguridad de terceros (incluidos SaaS).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Reporte de madurez MCU 5.0</w:t>
            </w:r>
          </w:p>
        </w:tc>
        <w:tc>
          <w:tcPr/>
          <w:p>
            <w:pPr>
              <w:pStyle w:val="Compact"/>
            </w:pPr>
            <w:r>
              <w:t xml:space="preserve">Trimestral según Comunicación vigente.</w:t>
            </w:r>
          </w:p>
        </w:tc>
      </w:tr>
    </w:tbl>
    <w:bookmarkEnd w:id="11"/>
    <w:bookmarkStart w:id="12" w:name="sanciones"/>
    <w:p>
      <w:pPr>
        <w:pStyle w:val="Heading2"/>
      </w:pPr>
      <w:r>
        <w:t xml:space="preserve">4. Sanciones</w:t>
      </w:r>
    </w:p>
    <w:p>
      <w:pPr>
        <w:pStyle w:val="FirstParagraph"/>
      </w:pPr>
      <w:r>
        <w:t xml:space="preserve">El incumplimiento continuado puede derivar en</w:t>
      </w:r>
      <w:r>
        <w:t xml:space="preserve"> </w:t>
      </w:r>
      <w:r>
        <w:rPr>
          <w:b/>
          <w:bCs/>
        </w:rPr>
        <w:t xml:space="preserve">sanciones económicas</w:t>
      </w:r>
      <w:r>
        <w:t xml:space="preserve"> </w:t>
      </w:r>
      <w:r>
        <w:t xml:space="preserve">(caso de referencia: multa al Banco Hipotecario del Uruguay en 2022 por incumplimiento sostenido de requerimientos de protección).</w:t>
      </w:r>
    </w:p>
    <w:bookmarkEnd w:id="12"/>
    <w:bookmarkStart w:id="13" w:name="cómo-se-vincula-con-cada-tarea-del-curso"/>
    <w:p>
      <w:pPr>
        <w:pStyle w:val="Heading2"/>
      </w:pPr>
      <w:r>
        <w:t xml:space="preserve">5. Cómo se vincula con cada tarea del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Requerimientos BCU más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Tarea 1 — Gestor de contraseñas</w:t>
            </w:r>
          </w:p>
        </w:tc>
        <w:tc>
          <w:tcPr/>
          <w:p>
            <w:pPr>
              <w:pStyle w:val="Compact"/>
            </w:pPr>
            <w:r>
              <w:t xml:space="preserve">2FA (5), criptografía (6), monitoreo de cambios (10), logs (16), incidentes (13).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Tarea 2 — Plataforma de gestión del RSI</w:t>
            </w:r>
          </w:p>
        </w:tc>
        <w:tc>
          <w:tcPr/>
          <w:p>
            <w:pPr>
              <w:pStyle w:val="Compact"/>
            </w:pPr>
            <w:r>
              <w:t xml:space="preserve">Política (1), RSI (2), riesgos (3), accesos (4), madurez MCU 5.0 (18).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Tarea 3 — Infraestructura de red</w:t>
            </w:r>
          </w:p>
        </w:tc>
        <w:tc>
          <w:tcPr/>
          <w:p>
            <w:pPr>
              <w:pStyle w:val="Compact"/>
            </w:pPr>
            <w:r>
              <w:t xml:space="preserve">IDS/IPS (11), SIEM/logs (16), vulnerabilidades (12), backups (7-9), continuidad (14).</w:t>
            </w:r>
          </w:p>
        </w:tc>
      </w:tr>
    </w:tbl>
    <w:bookmarkEnd w:id="13"/>
    <w:bookmarkStart w:id="14" w:name="fuentes-oficiales"/>
    <w:p>
      <w:pPr>
        <w:pStyle w:val="Heading2"/>
      </w:pPr>
      <w:r>
        <w:t xml:space="preserve">6. Fuentes oficiales</w:t>
      </w:r>
    </w:p>
    <w:p>
      <w:pPr>
        <w:pStyle w:val="Compact"/>
        <w:numPr>
          <w:ilvl w:val="0"/>
          <w:numId w:val="1003"/>
        </w:numPr>
      </w:pPr>
      <w:r>
        <w:t xml:space="preserve">BCU — Comunicación Nº 2026/098:</w:t>
      </w:r>
      <w:r>
        <w:t xml:space="preserve"> </w:t>
      </w:r>
      <w:r>
        <w:rPr>
          <w:rStyle w:val="VerbatimChar"/>
        </w:rPr>
        <w:t xml:space="preserve">https://www.bcu.gub.uy/Comunicados/seggco26098.pdf</w:t>
      </w:r>
    </w:p>
    <w:p>
      <w:pPr>
        <w:pStyle w:val="Compact"/>
        <w:numPr>
          <w:ilvl w:val="0"/>
          <w:numId w:val="1003"/>
        </w:numPr>
      </w:pPr>
      <w:r>
        <w:t xml:space="preserve">BCU — Comunicados sobre estándares de ciberseguridad:</w:t>
      </w:r>
      <w:r>
        <w:t xml:space="preserve"> </w:t>
      </w:r>
      <w:r>
        <w:rPr>
          <w:rStyle w:val="VerbatimChar"/>
        </w:rPr>
        <w:t xml:space="preserve">https://www.bcu.gub.uy/comunicaciones</w:t>
      </w:r>
    </w:p>
    <w:p>
      <w:pPr>
        <w:pStyle w:val="Compact"/>
        <w:numPr>
          <w:ilvl w:val="0"/>
          <w:numId w:val="1003"/>
        </w:numPr>
      </w:pPr>
      <w:r>
        <w:t xml:space="preserve">AGESIC — MCU 5.0:</w:t>
      </w:r>
      <w:r>
        <w:t xml:space="preserve"> </w:t>
      </w:r>
      <w:r>
        <w:rPr>
          <w:rStyle w:val="VerbatimChar"/>
        </w:rPr>
        <w:t xml:space="preserve">https://www.gub.uy/agencia-gobierno-electronico-sociedad-informacion-conocimiento/comunicacion/publicaciones/marco-ciberseguridad-50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la GSI completa es aplicable a entidades supervisadas; en el marco educativo se utiliza como referencia de buenas prácticas de un marco regulado y supervisado.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2026-09-07T12:28:45Z</dcterms:created>
  <dcterms:modified xsi:type="dcterms:W3CDTF">2026-09-07T12:28:45Z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