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763f4d15bfc34de2c8a2a6cf8ea8739e9f0b59"/>
    <w:p>
      <w:pPr>
        <w:pStyle w:val="Heading1"/>
      </w:pPr>
      <w:r>
        <w:t xml:space="preserve">Plantilla de Informe de Evaluación Red Team</w:t>
      </w:r>
    </w:p>
    <w:p>
      <w:pPr>
        <w:pStyle w:val="BlockText"/>
      </w:pPr>
      <w:r>
        <w:t xml:space="preserve">Este documento es la</w:t>
      </w:r>
      <w:r>
        <w:t xml:space="preserve"> </w:t>
      </w:r>
      <w:r>
        <w:rPr>
          <w:b/>
          <w:bCs/>
        </w:rPr>
        <w:t xml:space="preserve">plantilla del informe</w:t>
      </w:r>
      <w:r>
        <w:t xml:space="preserve"> </w:t>
      </w:r>
      <w:r>
        <w:t xml:space="preserve">que el equipo Red Team debe entregar al finalizar la Parte 2 de cada tarea. Se completa y se entrega en</w:t>
      </w:r>
      <w:r>
        <w:t xml:space="preserve"> </w:t>
      </w:r>
      <w:r>
        <w:rPr>
          <w:rStyle w:val="VerbatimChar"/>
        </w:rPr>
        <w:t xml:space="preserve">docs/informe-red-team.md</w:t>
      </w:r>
      <w:r>
        <w:t xml:space="preserve"> </w:t>
      </w:r>
      <w:r>
        <w:t xml:space="preserve">(+ DOCX).</w:t>
      </w:r>
      <w:r>
        <w:t xml:space="preserve"> </w:t>
      </w:r>
      <w:r>
        <w:t xml:space="preserve">Estructura alineada al reporte de una</w:t>
      </w:r>
      <w:r>
        <w:t xml:space="preserve"> </w:t>
      </w:r>
      <w:r>
        <w:rPr>
          <w:b/>
          <w:bCs/>
        </w:rPr>
        <w:t xml:space="preserve">prueba de penetración / auditoría técnica</w:t>
      </w:r>
      <w:r>
        <w:t xml:space="preserve">, con mapeo a normativa uruguaya.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Detectar</w:t>
            </w:r>
            <w:r>
              <w:t xml:space="preserve"> </w:t>
            </w:r>
            <w:r>
              <w:t xml:space="preserve">(DE-03) /</w:t>
            </w:r>
            <w:r>
              <w:t xml:space="preserve"> </w:t>
            </w:r>
            <w:r>
              <w:rPr>
                <w:b/>
                <w:bCs/>
              </w:rPr>
              <w:t xml:space="preserve">Responder</w:t>
            </w:r>
            <w:r>
              <w:t xml:space="preserve"> </w:t>
            </w:r>
            <w:r>
              <w:t xml:space="preserve">(RS-01)</w:t>
            </w:r>
          </w:p>
        </w:tc>
        <w:tc>
          <w:tcPr/>
          <w:p>
            <w:pPr>
              <w:pStyle w:val="Compact"/>
            </w:pPr>
            <w:r>
              <w:t xml:space="preserve">El informe evidencia la eficacia de los controles de detección y respuesta.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GSI</w:t>
            </w:r>
          </w:p>
        </w:tc>
        <w:tc>
          <w:tcPr/>
          <w:p>
            <w:pPr>
              <w:pStyle w:val="Compact"/>
            </w:pPr>
            <w:r>
              <w:t xml:space="preserve">Requisito de evaluación de controles / incidentes</w:t>
            </w:r>
          </w:p>
        </w:tc>
        <w:tc>
          <w:tcPr/>
          <w:p>
            <w:pPr>
              <w:pStyle w:val="Compact"/>
            </w:pPr>
            <w:r>
              <w:t xml:space="preserve">Insumo para gestión de incidentes y mejora.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A.5.24 – A.5.28</w:t>
            </w:r>
          </w:p>
        </w:tc>
        <w:tc>
          <w:tcPr/>
          <w:p>
            <w:pPr>
              <w:pStyle w:val="Compact"/>
            </w:pPr>
            <w:r>
              <w:t xml:space="preserve">Gestión de incidentes y aprendizaje.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27005 / 31000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Priorización de hallazgos por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MEA02 (Evaluación del sistema de control)</w:t>
            </w:r>
          </w:p>
        </w:tc>
        <w:tc>
          <w:tcPr/>
          <w:p>
            <w:pPr>
              <w:pStyle w:val="Compact"/>
            </w:pPr>
            <w:r>
              <w:t xml:space="preserve">Evaluación de controles.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Informe de evaluación técnica —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RT-T3-2026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Cliente/cátedra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[Docente]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evaluación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[inicio] → [fin]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Red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[integrantes]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evaluados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[Solución T1/T2/T3]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autorizado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[IPs/VMs/hosts]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sumen-ejecutivo"/>
    <w:p>
      <w:pPr>
        <w:pStyle w:val="Heading2"/>
      </w:pPr>
      <w:r>
        <w:t xml:space="preserve">1. Resumen ejecutivo</w:t>
      </w:r>
    </w:p>
    <w:p>
      <w:pPr>
        <w:pStyle w:val="Compact"/>
        <w:numPr>
          <w:ilvl w:val="0"/>
          <w:numId w:val="1001"/>
        </w:numPr>
      </w:pPr>
      <w:r>
        <w:t xml:space="preserve">Contexto del objetivo evaluado (breve descripción de la solución).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Principales hallazgos</w:t>
      </w:r>
      <w:r>
        <w:t xml:space="preserve"> </w:t>
      </w:r>
      <w:r>
        <w:t xml:space="preserve">(tabla con severidad y cantidad).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Postura de seguridad</w:t>
      </w:r>
      <w:r>
        <w:t xml:space="preserve">: conclusión general (p. ej.:</w:t>
      </w:r>
      <w:r>
        <w:t xml:space="preserve"> </w:t>
      </w:r>
      <w:r>
        <w:t xml:space="preserve">“la solución presenta una exposición media-baja, con 3 hallazgos altos resueltos durante la evaluación”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Valoración de madurez MCU 5.0 observada.</w:t>
      </w:r>
    </w:p>
    <w:bookmarkEnd w:id="11"/>
    <w:bookmarkStart w:id="12" w:name="alcance-y-reglas-de-compromiso"/>
    <w:p>
      <w:pPr>
        <w:pStyle w:val="Heading2"/>
      </w:pPr>
      <w:r>
        <w:t xml:space="preserve">2. Alcance y reglas de compromiso</w:t>
      </w:r>
    </w:p>
    <w:p>
      <w:pPr>
        <w:pStyle w:val="Compact"/>
        <w:numPr>
          <w:ilvl w:val="0"/>
          <w:numId w:val="1002"/>
        </w:numPr>
      </w:pPr>
      <w:r>
        <w:t xml:space="preserve">Inventario de objetivos evaluados y técnicas autorizadas.</w:t>
      </w:r>
    </w:p>
    <w:p>
      <w:pPr>
        <w:pStyle w:val="Compact"/>
        <w:numPr>
          <w:ilvl w:val="0"/>
          <w:numId w:val="1002"/>
        </w:numPr>
      </w:pPr>
      <w:r>
        <w:t xml:space="preserve">Vetos (no se realizó: DoS destructivo, exfiltración real, etc.).</w:t>
      </w:r>
    </w:p>
    <w:p>
      <w:pPr>
        <w:pStyle w:val="Compact"/>
        <w:numPr>
          <w:ilvl w:val="0"/>
          <w:numId w:val="1002"/>
        </w:numPr>
      </w:pPr>
      <w:r>
        <w:t xml:space="preserve">Entorno (diagrama de la red de laboratorio del Blue Team).</w:t>
      </w:r>
    </w:p>
    <w:bookmarkEnd w:id="12"/>
    <w:bookmarkStart w:id="13" w:name="metodología"/>
    <w:p>
      <w:pPr>
        <w:pStyle w:val="Heading2"/>
      </w:pPr>
      <w:r>
        <w:t xml:space="preserve">3. Metodología</w:t>
      </w:r>
    </w:p>
    <w:p>
      <w:pPr>
        <w:pStyle w:val="Compact"/>
        <w:numPr>
          <w:ilvl w:val="0"/>
          <w:numId w:val="1003"/>
        </w:numPr>
      </w:pPr>
      <w:r>
        <w:t xml:space="preserve">Referencias:</w:t>
      </w:r>
      <w:r>
        <w:t xml:space="preserve"> </w:t>
      </w:r>
      <w:r>
        <w:rPr>
          <w:b/>
          <w:bCs/>
        </w:rPr>
        <w:t xml:space="preserve">PTES / OWASP Testing Guide / MITRE ATT&amp;CK / NIST SP 800-115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Fases ejecutadas: Planificación → Reconocimiento → Escaneo → Explotación → Post-explotación → Reporte.</w:t>
      </w:r>
    </w:p>
    <w:p>
      <w:pPr>
        <w:pStyle w:val="Compact"/>
        <w:numPr>
          <w:ilvl w:val="0"/>
          <w:numId w:val="1003"/>
        </w:numPr>
      </w:pPr>
      <w:r>
        <w:t xml:space="preserve">Herramientas utilizadas (todas open source).</w:t>
      </w:r>
    </w:p>
    <w:bookmarkEnd w:id="13"/>
    <w:bookmarkStart w:id="14" w:name="inventario-de-hallazgos-resumen"/>
    <w:p>
      <w:pPr>
        <w:pStyle w:val="Heading2"/>
      </w:pPr>
      <w:r>
        <w:t xml:space="preserve">4. Inventario de hallazgos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Severidad (CVSS)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Repro (S/N)</w:t>
            </w:r>
          </w:p>
        </w:tc>
        <w:tc>
          <w:tcPr/>
          <w:p>
            <w:pPr>
              <w:pStyle w:val="Compact"/>
            </w:pPr>
            <w:r>
              <w:t xml:space="preserve">Técnica MITRE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detalle-de-hallazgos"/>
    <w:p>
      <w:pPr>
        <w:pStyle w:val="Heading2"/>
      </w:pPr>
      <w:r>
        <w:t xml:space="preserve">5. Detalle de hallazgos</w:t>
      </w:r>
    </w:p>
    <w:p>
      <w:pPr>
        <w:pStyle w:val="FirstParagraph"/>
      </w:pPr>
      <w:r>
        <w:t xml:space="preserve">Para cada hallazgo (uno por bloque):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RT-</w:t>
            </w:r>
            <w:r>
              <w:rPr>
                <w:rStyle w:val="VerbatimChar"/>
              </w:rP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Qué y dónde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</w:t>
            </w:r>
          </w:p>
        </w:tc>
        <w:tc>
          <w:tcPr/>
          <w:p>
            <w:pPr>
              <w:pStyle w:val="Compact"/>
            </w:pPr>
            <w:r>
              <w:t xml:space="preserve">CVE/CWE o debilidad concreta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CVSS v3.x base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Reproducción (repro)</w:t>
            </w:r>
          </w:p>
        </w:tc>
        <w:tc>
          <w:tcPr/>
          <w:p>
            <w:pPr>
              <w:pStyle w:val="Compact"/>
            </w:pPr>
            <w:r>
              <w:t xml:space="preserve">Paso a paso técnico (comandos/capturas)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Qué se logró (acceso, datos,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MITRE ATT&amp;CK ID/táctica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Capturas/logs en</w:t>
            </w:r>
            <w:r>
              <w:t xml:space="preserve"> </w:t>
            </w:r>
            <w:r>
              <w:rPr>
                <w:rStyle w:val="VerbatimChar"/>
              </w:rPr>
              <w:t xml:space="preserve">docs/evidencias/red-team/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Cómo corregir (control ISO/MCU recomendado)</w:t>
            </w:r>
          </w:p>
        </w:tc>
      </w:tr>
    </w:tbl>
    <w:bookmarkEnd w:id="15"/>
    <w:bookmarkStart w:id="16" w:name="mapeo-a-mitre-attck"/>
    <w:p>
      <w:pPr>
        <w:pStyle w:val="Heading2"/>
      </w:pPr>
      <w:r>
        <w:t xml:space="preserve">6. Mapeo a MITRE ATT&amp;CK</w:t>
      </w:r>
    </w:p>
    <w:p>
      <w:pPr>
        <w:pStyle w:val="FirstParagraph"/>
      </w:pPr>
      <w:r>
        <w:t xml:space="preserve">Tabla de tácticas → técnicas → hallazgos asociados (opcional incluir diagrama de navegación).</w:t>
      </w:r>
    </w:p>
    <w:bookmarkEnd w:id="16"/>
    <w:bookmarkStart w:id="17" w:name="evaluación-de-la-respuesta-del-blue-team"/>
    <w:p>
      <w:pPr>
        <w:pStyle w:val="Heading2"/>
      </w:pPr>
      <w:r>
        <w:t xml:space="preserve">7. Evaluación de la respuesta del Blue Team</w:t>
      </w:r>
    </w:p>
    <w:p>
      <w:pPr>
        <w:pStyle w:val="Compact"/>
        <w:numPr>
          <w:ilvl w:val="0"/>
          <w:numId w:val="1004"/>
        </w:numPr>
      </w:pPr>
      <w:r>
        <w:t xml:space="preserve">¿Cómo respondió el Blue Team a cada ataque? (bitácora/registros: bloqueo, alerta, aislamiento).</w:t>
      </w:r>
    </w:p>
    <w:p>
      <w:pPr>
        <w:pStyle w:val="Compact"/>
        <w:numPr>
          <w:ilvl w:val="0"/>
          <w:numId w:val="1004"/>
        </w:numPr>
      </w:pPr>
      <w:r>
        <w:t xml:space="preserve">¿Fueron efectivos los controles SIEM/SOAR?</w:t>
      </w:r>
    </w:p>
    <w:p>
      <w:pPr>
        <w:pStyle w:val="Compact"/>
        <w:numPr>
          <w:ilvl w:val="0"/>
          <w:numId w:val="1004"/>
        </w:numPr>
      </w:pPr>
      <w:r>
        <w:t xml:space="preserve">Comparación contra lo declarado en la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(brechas de madurez).</w:t>
      </w:r>
    </w:p>
    <w:bookmarkEnd w:id="17"/>
    <w:bookmarkStart w:id="18" w:name="lecciones-aprendidas-y-recomendaciones"/>
    <w:p>
      <w:pPr>
        <w:pStyle w:val="Heading2"/>
      </w:pPr>
      <w:r>
        <w:t xml:space="preserve">8. Lecciones aprendidas y recomendaciones</w:t>
      </w:r>
    </w:p>
    <w:p>
      <w:pPr>
        <w:pStyle w:val="Compact"/>
        <w:numPr>
          <w:ilvl w:val="0"/>
          <w:numId w:val="1005"/>
        </w:numPr>
      </w:pPr>
      <w:r>
        <w:t xml:space="preserve">Acciones correctivas prioritarias (orden por riesgo).</w:t>
      </w:r>
    </w:p>
    <w:p>
      <w:pPr>
        <w:pStyle w:val="Compact"/>
        <w:numPr>
          <w:ilvl w:val="0"/>
          <w:numId w:val="1005"/>
        </w:numPr>
      </w:pPr>
      <w:r>
        <w:t xml:space="preserve">Mejoras de arquitectura y monitoreo.</w:t>
      </w:r>
    </w:p>
    <w:p>
      <w:pPr>
        <w:pStyle w:val="Compact"/>
        <w:numPr>
          <w:ilvl w:val="0"/>
          <w:numId w:val="1005"/>
        </w:numPr>
      </w:pPr>
      <w:r>
        <w:t xml:space="preserve">Recomendaciones de cumplimiento (MCU 5.0 / BCU / URCDP / ISO).</w:t>
      </w:r>
    </w:p>
    <w:bookmarkEnd w:id="18"/>
    <w:bookmarkStart w:id="19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A — Bitácora del Red Team (tabla completa →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Anexo B — Evidencias (índice de archivos en</w:t>
      </w:r>
      <w:r>
        <w:t xml:space="preserve"> </w:t>
      </w:r>
      <w:r>
        <w:rPr>
          <w:rStyle w:val="VerbatimChar"/>
        </w:rPr>
        <w:t xml:space="preserve">docs/evidencias/red-team/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Anexo C — Conteo de resultados: IPs escaneadas, servicios identificados, hallazgos por severidad.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2026-09-07T12:55:15Z</dcterms:created>
  <dcterms:modified xsi:type="dcterms:W3CDTF">2026-09-07T12:55:15Z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