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976e7c51c86c487a8351b43be8fdca0155c2e6"/>
    <w:p>
      <w:pPr>
        <w:pStyle w:val="Heading1"/>
      </w:pPr>
      <w:r>
        <w:t xml:space="preserve">Plantilla ISACA/COBIT 2019 — Política de Seguridad de la Información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p>
      <w:pPr>
        <w:pStyle w:val="BlockText"/>
      </w:pPr>
      <w:r>
        <w:rPr>
          <w:b/>
          <w:bCs/>
        </w:rPr>
        <w:t xml:space="preserve">Complete esta tabla en función de su organización/solución. Los ítems marcados son las referencias mínimas.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t xml:space="preserve">Gobernar</w:t>
            </w:r>
          </w:p>
        </w:tc>
        <w:tc>
          <w:tcPr/>
          <w:p>
            <w:pPr>
              <w:pStyle w:val="Compact"/>
            </w:pPr>
            <w:r>
              <w:t xml:space="preserve">Aporta a la función</w:t>
            </w:r>
            <w:r>
              <w:t xml:space="preserve"> </w:t>
            </w:r>
            <w:r>
              <w:rPr>
                <w:b/>
                <w:bCs/>
              </w:rPr>
              <w:t xml:space="preserve">Gobernar</w:t>
            </w:r>
            <w:r>
              <w:t xml:space="preserve"> </w:t>
            </w:r>
            <w:r>
              <w:t xml:space="preserve">(GV-01, GV-02) del Marco de Ciberseguridad 5.0.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GV-01 a GV-06, PR-01</w:t>
            </w:r>
          </w:p>
        </w:tc>
        <w:tc>
          <w:tcPr/>
          <w:p>
            <w:pPr>
              <w:pStyle w:val="Compact"/>
            </w:pPr>
            <w:r>
              <w:t xml:space="preserve">Establece el marco de gobierno y las reglas de protección de la información.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 comunitario</w:t>
            </w:r>
          </w:p>
        </w:tc>
        <w:tc>
          <w:tcPr/>
          <w:p>
            <w:pPr>
              <w:pStyle w:val="Compact"/>
            </w:pPr>
            <w:r>
              <w:t xml:space="preserve">Básico / Estándar / Avanzado</w:t>
            </w:r>
          </w:p>
        </w:tc>
        <w:tc>
          <w:tcPr/>
          <w:p>
            <w:pPr>
              <w:pStyle w:val="Compact"/>
            </w:pPr>
            <w:r>
              <w:t xml:space="preserve">El perfil al que la organización declara aspirar.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APO13 (Gestión de Seguridad), APO01 (Gestión de marco de gobierno), EDM03</w:t>
            </w:r>
          </w:p>
        </w:tc>
        <w:tc>
          <w:tcPr/>
          <w:p>
            <w:pPr>
              <w:pStyle w:val="Compact"/>
            </w:pPr>
            <w:r>
              <w:t xml:space="preserve">La política es el insumo controlador del objetivo de gestión APO13.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A.5.1 Políticas de seguridad de la información, A.5.24</w:t>
            </w:r>
          </w:p>
        </w:tc>
        <w:tc>
          <w:tcPr/>
          <w:p>
            <w:pPr>
              <w:pStyle w:val="Compact"/>
            </w:pPr>
            <w:r>
              <w:t xml:space="preserve">Cumple los controles A.5.1, A.5.9, A.5.24.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27002</w:t>
            </w:r>
          </w:p>
        </w:tc>
        <w:tc>
          <w:tcPr/>
          <w:p>
            <w:pPr>
              <w:pStyle w:val="Compact"/>
            </w:pPr>
            <w:r>
              <w:t xml:space="preserve">5.1, 5.9, 6.2</w:t>
            </w:r>
          </w:p>
        </w:tc>
        <w:tc>
          <w:tcPr/>
          <w:p>
            <w:pPr>
              <w:pStyle w:val="Compact"/>
            </w:pPr>
            <w:r>
              <w:t xml:space="preserve">Guía de implementación de políticas.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Requisito 1 (política de seguridad)</w:t>
            </w:r>
          </w:p>
        </w:tc>
        <w:tc>
          <w:tcPr/>
          <w:p>
            <w:pPr>
              <w:pStyle w:val="Compact"/>
            </w:pPr>
            <w:r>
              <w:t xml:space="preserve">La GSI BCU exige política formal aprobada por la dirección.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</w:t>
            </w:r>
          </w:p>
        </w:tc>
        <w:tc>
          <w:tcPr/>
          <w:p>
            <w:pPr>
              <w:pStyle w:val="Compact"/>
            </w:pPr>
            <w:r>
              <w:t xml:space="preserve">Art. 9 y 12 (seguridad de datos)</w:t>
            </w:r>
          </w:p>
        </w:tc>
        <w:tc>
          <w:tcPr/>
          <w:p>
            <w:pPr>
              <w:pStyle w:val="Compact"/>
            </w:pPr>
            <w:r>
              <w:t xml:space="preserve">La política asegura medidas de seguridad de los datos personales.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 de cumplimiento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docs/01-Politica-Seguridad.md</w:t>
            </w:r>
          </w:p>
        </w:tc>
        <w:tc>
          <w:tcPr/>
          <w:p>
            <w:pPr>
              <w:pStyle w:val="Compact"/>
            </w:pPr>
            <w:r>
              <w:t xml:space="preserve">Versión firmada/aprobada a entregar en el hito correspondiente.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documento</w:t>
            </w:r>
          </w:p>
        </w:tc>
        <w:tc>
          <w:tcPr/>
          <w:p>
            <w:pPr>
              <w:pStyle w:val="Compact"/>
            </w:pPr>
            <w:r>
              <w:t xml:space="preserve">Política de Seguridad de la 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SI-POL-01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aprobación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[Rol - Comité/Gerencia]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 de quien redacta]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bookmarkStart w:id="10" w:name="historial-de-versiones"/>
    <w:p>
      <w:pPr>
        <w:pStyle w:val="Heading3"/>
      </w:pPr>
      <w:r>
        <w:t xml:space="preserve">Historial de 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Descripción de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el marco directivo que fija los principios, responsabilidades y reglas para proteger la confidencialidad, integridad y disponibilidad de la información de</w:t>
      </w:r>
      <w:r>
        <w:t xml:space="preserve"> </w:t>
      </w:r>
      <w:r>
        <w:rPr>
          <w:rStyle w:val="VerbatimChar"/>
        </w:rPr>
        <w:t xml:space="preserve">[Organización]</w:t>
      </w:r>
      <w:r>
        <w:t xml:space="preserve"> </w:t>
      </w:r>
      <w:r>
        <w:t xml:space="preserve">y de la solución</w:t>
      </w:r>
      <w:r>
        <w:t xml:space="preserve"> </w:t>
      </w:r>
      <w:r>
        <w:rPr>
          <w:rStyle w:val="VerbatimChar"/>
        </w:rPr>
        <w:t xml:space="preserve">[Solución]</w:t>
      </w:r>
      <w:r>
        <w:t xml:space="preserve">.</w:t>
      </w:r>
    </w:p>
    <w:bookmarkEnd w:id="12"/>
    <w:bookmarkStart w:id="13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rPr>
          <w:rStyle w:val="VerbatimChar"/>
        </w:rPr>
        <w:t xml:space="preserve">[Describir a qué sistemas, activos, personas y procesos aplica la política. Para el curso: describir a qué componente de la tarea aplica.]</w:t>
      </w:r>
    </w:p>
    <w:bookmarkEnd w:id="13"/>
    <w:bookmarkStart w:id="14" w:name="marco-normativo-y-su-posición"/>
    <w:p>
      <w:pPr>
        <w:pStyle w:val="Heading2"/>
      </w:pPr>
      <w:r>
        <w:t xml:space="preserve">3. Marco normativo y su posición</w:t>
      </w:r>
    </w:p>
    <w:p>
      <w:pPr>
        <w:pStyle w:val="FirstParagraph"/>
      </w:pPr>
      <w:r>
        <w:t xml:space="preserve">Describa cómo esta política se relaciona con: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MCU 5.0</w:t>
      </w:r>
      <w:r>
        <w:t xml:space="preserve"> </w:t>
      </w:r>
      <w:r>
        <w:t xml:space="preserve">(función Gobernar).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Plataforma/marco del BCU</w:t>
      </w:r>
      <w:r>
        <w:t xml:space="preserve"> </w:t>
      </w:r>
      <w:r>
        <w:t xml:space="preserve">(Gobernanza de ciberseguridad).</w:t>
      </w:r>
      <w:r>
        <w:t xml:space="preserve"> </w:t>
      </w:r>
      <w:r>
        <w:t xml:space="preserve">- Normativa interna y regulaciones aplicables (ISO 27001, Ley 18.331, CUI-Uruguay si aplica).</w:t>
      </w:r>
    </w:p>
    <w:bookmarkEnd w:id="14"/>
    <w:bookmarkStart w:id="15" w:name="principios-de-seguridad"/>
    <w:p>
      <w:pPr>
        <w:pStyle w:val="Heading2"/>
      </w:pPr>
      <w:r>
        <w:t xml:space="preserve">4. Principios de seguridad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Mínimo privilegio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in depth / Zero Trust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</w:tbl>
    <w:bookmarkEnd w:id="15"/>
    <w:bookmarkStart w:id="16" w:name="estructura-de-la-política"/>
    <w:p>
      <w:pPr>
        <w:pStyle w:val="Heading2"/>
      </w:pPr>
      <w:r>
        <w:t xml:space="preserve">5. Estructura de la política</w:t>
      </w:r>
    </w:p>
    <w:p>
      <w:pPr>
        <w:pStyle w:val="FirstParagraph"/>
      </w:pPr>
      <w:r>
        <w:t xml:space="preserve">Definir jerarquía documental: Política ⮕ Políticas específicas ⮕ Normas/procedimientos ⮕ Guías.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Política específica</w:t>
            </w:r>
          </w:p>
        </w:tc>
        <w:tc>
          <w:tcPr/>
          <w:p>
            <w:pPr>
              <w:pStyle w:val="Compact"/>
            </w:pPr>
            <w:r>
              <w:t xml:space="preserve">Contenido mínimo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control de accesos</w:t>
            </w:r>
          </w:p>
        </w:tc>
        <w:tc>
          <w:tcPr/>
          <w:p>
            <w:pPr>
              <w:pStyle w:val="Compact"/>
            </w:pPr>
            <w:r>
              <w:t xml:space="preserve">Reglas de identidad, TOTP, SSO (Keycloak/Wirenboard), revisión de accesos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09-gestion-accesos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gestión de contraseñas</w:t>
            </w:r>
          </w:p>
        </w:tc>
        <w:tc>
          <w:tcPr/>
          <w:p>
            <w:pPr>
              <w:pStyle w:val="Compact"/>
            </w:pPr>
            <w:r>
              <w:t xml:space="preserve">Reglas de generación, crypto, rotación, brechas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10-gestion-vulnerabilidades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gestión de incidentes</w:t>
            </w:r>
          </w:p>
        </w:tc>
        <w:tc>
          <w:tcPr/>
          <w:p>
            <w:pPr>
              <w:pStyle w:val="Compact"/>
            </w:pPr>
            <w:r>
              <w:t xml:space="preserve">Detección, reporte, escalamiento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04-gestion-incidentes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monitoreo y logs</w:t>
            </w:r>
          </w:p>
        </w:tc>
        <w:tc>
          <w:tcPr/>
          <w:p>
            <w:pPr>
              <w:pStyle w:val="Compact"/>
            </w:pPr>
            <w:r>
              <w:t xml:space="preserve">Eventos, SIEM, retención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07-monitoreo-logs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copias de seguridad</w:t>
            </w:r>
          </w:p>
        </w:tc>
        <w:tc>
          <w:tcPr/>
          <w:p>
            <w:pPr>
              <w:pStyle w:val="Compact"/>
            </w:pPr>
            <w:r>
              <w:t xml:space="preserve">Retención, prueba de restauración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06-plan-continuidad</w:t>
            </w:r>
          </w:p>
        </w:tc>
      </w:tr>
    </w:tbl>
    <w:bookmarkEnd w:id="16"/>
    <w:bookmarkStart w:id="17" w:name="roles-y-responsabilidades"/>
    <w:p>
      <w:pPr>
        <w:pStyle w:val="Heading2"/>
      </w:pPr>
      <w:r>
        <w:t xml:space="preserve">6. Roles y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 / CISO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de la plataforma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desarrollo (Blue Team)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validación (Red Team)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[Describir]</w:t>
            </w:r>
          </w:p>
        </w:tc>
      </w:tr>
    </w:tbl>
    <w:bookmarkEnd w:id="17"/>
    <w:bookmarkStart w:id="18" w:name="concientización-y-cumplimiento"/>
    <w:p>
      <w:pPr>
        <w:pStyle w:val="Heading2"/>
      </w:pPr>
      <w:r>
        <w:t xml:space="preserve">7. Concientización y cumplimiento</w:t>
      </w:r>
    </w:p>
    <w:p>
      <w:pPr>
        <w:pStyle w:val="Compact"/>
        <w:numPr>
          <w:ilvl w:val="0"/>
          <w:numId w:val="1001"/>
        </w:numPr>
      </w:pPr>
      <w:r>
        <w:t xml:space="preserve">Frecuencia de capacitación:</w:t>
      </w:r>
      <w:r>
        <w:t xml:space="preserve"> </w:t>
      </w:r>
      <w:r>
        <w:rPr>
          <w:rStyle w:val="VerbatimChar"/>
        </w:rPr>
        <w:t xml:space="preserve">[anual / trimestral]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Consecuencias por incumplimiento:</w:t>
      </w:r>
      <w:r>
        <w:t xml:space="preserve"> </w:t>
      </w:r>
      <w:r>
        <w:rPr>
          <w:rStyle w:val="VerbatimChar"/>
        </w:rPr>
        <w:t xml:space="preserve">[sanciones definidas]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Canal de reporte:</w:t>
      </w:r>
      <w:r>
        <w:t xml:space="preserve"> </w:t>
      </w:r>
      <w:r>
        <w:rPr>
          <w:rStyle w:val="VerbatimChar"/>
        </w:rPr>
        <w:t xml:space="preserve">[correo / ticketera]</w:t>
      </w:r>
      <w:r>
        <w:t xml:space="preserve">.</w:t>
      </w:r>
    </w:p>
    <w:bookmarkEnd w:id="18"/>
    <w:bookmarkStart w:id="19" w:name="vigencia-y-revisión"/>
    <w:p>
      <w:pPr>
        <w:pStyle w:val="Heading2"/>
      </w:pPr>
      <w:r>
        <w:t xml:space="preserve">8. Vigencia y revisión</w:t>
      </w:r>
    </w:p>
    <w:p>
      <w:pPr>
        <w:pStyle w:val="Compact"/>
        <w:numPr>
          <w:ilvl w:val="0"/>
          <w:numId w:val="1002"/>
        </w:numPr>
      </w:pPr>
      <w:r>
        <w:t xml:space="preserve">Esta política entra en vigencia a partir de</w:t>
      </w:r>
      <w:r>
        <w:t xml:space="preserve"> </w:t>
      </w:r>
      <w:r>
        <w:rPr>
          <w:rStyle w:val="VerbatimChar"/>
        </w:rPr>
        <w:t xml:space="preserve">[fecha]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Será revisada como mínimo una vez al año o ante cambios significativos.</w:t>
      </w:r>
    </w:p>
    <w:p>
      <w:r>
        <w:pict>
          <v:rect style="width:0;height:1.5pt" o:hralign="center" o:hrstd="t" o:hr="t"/>
        </w:pict>
      </w:r>
    </w:p>
    <w:bookmarkEnd w:id="19"/>
    <w:bookmarkStart w:id="20" w:name="guía-de-llenado-para-el-curso"/>
    <w:p>
      <w:pPr>
        <w:pStyle w:val="Heading2"/>
      </w:pPr>
      <w:r>
        <w:t xml:space="preserve">Guía de llenado (para el curso)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Inicio</w:t>
            </w:r>
          </w:p>
        </w:tc>
        <w:tc>
          <w:tcPr/>
          <w:p>
            <w:pPr>
              <w:pStyle w:val="Compact"/>
            </w:pPr>
            <w:r>
              <w:t xml:space="preserve">Redactar sobre la base del diseño de la solución y los RF/RNF</w:t>
            </w:r>
          </w:p>
        </w:tc>
        <w:tc>
          <w:tcPr/>
          <w:p>
            <w:pPr>
              <w:pStyle w:val="Compact"/>
            </w:pPr>
            <w:r>
              <w:t xml:space="preserve">Diagrama de arquitectura, RF de la letra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Implementación</w:t>
            </w:r>
          </w:p>
        </w:tc>
        <w:tc>
          <w:tcPr/>
          <w:p>
            <w:pPr>
              <w:pStyle w:val="Compact"/>
            </w:pPr>
            <w:r>
              <w:t xml:space="preserve">Ajustar a lo realmente implementado</w:t>
            </w:r>
          </w:p>
        </w:tc>
        <w:tc>
          <w:tcPr/>
          <w:p>
            <w:pPr>
              <w:pStyle w:val="Compact"/>
            </w:pPr>
            <w:r>
              <w:t xml:space="preserve">Capturas de pantalla, config de servicios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a Red Team</w:t>
            </w:r>
          </w:p>
        </w:tc>
        <w:tc>
          <w:tcPr/>
          <w:p>
            <w:pPr>
              <w:pStyle w:val="Compact"/>
            </w:pPr>
            <w:r>
              <w:t xml:space="preserve">Congelar la versión firmada</w:t>
            </w:r>
          </w:p>
        </w:tc>
        <w:tc>
          <w:tcPr/>
          <w:p>
            <w:pPr>
              <w:pStyle w:val="Compact"/>
            </w:pPr>
            <w:r>
              <w:t xml:space="preserve">Git tag / hash del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 - Evaluación</w:t>
            </w:r>
          </w:p>
        </w:tc>
        <w:tc>
          <w:tcPr/>
          <w:p>
            <w:pPr>
              <w:pStyle w:val="Compact"/>
            </w:pPr>
            <w:r>
              <w:t xml:space="preserve">El Red Team NO modifica esta política; la evalúa contra hallazgos técnicos</w:t>
            </w:r>
          </w:p>
        </w:tc>
        <w:tc>
          <w:tcPr/>
          <w:p>
            <w:pPr>
              <w:pStyle w:val="Compact"/>
            </w:pPr>
            <w:r>
              <w:t xml:space="preserve">Informe de hallazgos del Red Team</w:t>
            </w:r>
          </w:p>
        </w:tc>
      </w:tr>
    </w:tbl>
    <w:bookmarkEnd w:id="20"/>
    <w:bookmarkStart w:id="21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3"/>
        </w:numPr>
      </w:pPr>
      <w:r>
        <w:t xml:space="preserve">Aprobada formalmente con fecha y firmas.</w:t>
      </w:r>
    </w:p>
    <w:p>
      <w:pPr>
        <w:pStyle w:val="Compact"/>
        <w:numPr>
          <w:ilvl w:val="0"/>
          <w:numId w:val="1004"/>
        </w:numPr>
      </w:pPr>
      <w:r>
        <w:t xml:space="preserve">Menciona MCU 5.0, BCU, ISO y Ley 18.331.</w:t>
      </w:r>
    </w:p>
    <w:p>
      <w:pPr>
        <w:pStyle w:val="Compact"/>
        <w:numPr>
          <w:ilvl w:val="0"/>
          <w:numId w:val="1005"/>
        </w:numPr>
      </w:pPr>
      <w:r>
        <w:t xml:space="preserve">Define roles y responsabilidades.</w:t>
      </w:r>
    </w:p>
    <w:p>
      <w:pPr>
        <w:pStyle w:val="Compact"/>
        <w:numPr>
          <w:ilvl w:val="0"/>
          <w:numId w:val="1006"/>
        </w:numPr>
      </w:pPr>
      <w:r>
        <w:t xml:space="preserve">Referencia el resto de las políticas de la carpeta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2026-09-07T12:28:44Z</dcterms:created>
  <dcterms:modified xsi:type="dcterms:W3CDTF">2026-09-07T12:28:44Z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