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e99da40537f08bd1061a5bd8d49614748f394a"/>
    <w:p>
      <w:pPr>
        <w:pStyle w:val="Heading1"/>
      </w:pPr>
      <w:r>
        <w:t xml:space="preserve">Plantilla ISACA/COBIT 2019 — Inventario y Clasificación de Activos de Información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Identificar</w:t>
            </w:r>
          </w:p>
        </w:tc>
        <w:tc>
          <w:tcPr/>
          <w:p>
            <w:pPr>
              <w:pStyle w:val="Compact"/>
            </w:pPr>
            <w:r>
              <w:t xml:space="preserve">Aporta a la función</w:t>
            </w:r>
            <w:r>
              <w:t xml:space="preserve"> </w:t>
            </w:r>
            <w:r>
              <w:rPr>
                <w:b/>
                <w:bCs/>
              </w:rPr>
              <w:t xml:space="preserve">Identificar</w:t>
            </w:r>
            <w:r>
              <w:t xml:space="preserve"> </w:t>
            </w:r>
            <w:r>
              <w:t xml:space="preserve">(ID-01 Catálogo de activos; ID-02 Perfil de riesgo).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ID-01, ID-02, PR-01</w:t>
            </w:r>
          </w:p>
        </w:tc>
        <w:tc>
          <w:tcPr/>
          <w:p>
            <w:pPr>
              <w:pStyle w:val="Compact"/>
            </w:pPr>
            <w:r>
              <w:t xml:space="preserve">Inventario físico/lógico; priorización de activos críticos.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APO03 (Gestión de activos de TI), APO12 (Riesgo)</w:t>
            </w:r>
          </w:p>
        </w:tc>
        <w:tc>
          <w:tcPr/>
          <w:p>
            <w:pPr>
              <w:pStyle w:val="Compact"/>
            </w:pPr>
            <w:r>
              <w:t xml:space="preserve">Insumo para riesgo y cambios.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A.5.9 Inventario de activos, A.5.10 Propiedad, A.5.12 Clasificación</w:t>
            </w:r>
          </w:p>
        </w:tc>
        <w:tc>
          <w:tcPr/>
          <w:p>
            <w:pPr>
              <w:pStyle w:val="Compact"/>
            </w:pPr>
            <w:r>
              <w:t xml:space="preserve">Controles A.5.9, A.5.10, A.5.12, A.8.1.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27002</w:t>
            </w:r>
          </w:p>
        </w:tc>
        <w:tc>
          <w:tcPr/>
          <w:p>
            <w:pPr>
              <w:pStyle w:val="Compact"/>
            </w:pPr>
            <w:r>
              <w:t xml:space="preserve">5.9, 5.10, 5.12</w:t>
            </w:r>
          </w:p>
        </w:tc>
        <w:tc>
          <w:tcPr/>
          <w:p>
            <w:pPr>
              <w:pStyle w:val="Compact"/>
            </w:pPr>
            <w:r>
              <w:t xml:space="preserve">Clasificación y etiquetado.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sobre inventario/activos</w:t>
            </w:r>
          </w:p>
        </w:tc>
        <w:tc>
          <w:tcPr/>
          <w:p>
            <w:pPr>
              <w:pStyle w:val="Compact"/>
            </w:pPr>
            <w:r>
              <w:t xml:space="preserve">Identificar activos críticos que soportan operaciones del negocio.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</w:t>
            </w:r>
          </w:p>
        </w:tc>
        <w:tc>
          <w:tcPr/>
          <w:p>
            <w:pPr>
              <w:pStyle w:val="Compact"/>
            </w:pPr>
            <w:r>
              <w:t xml:space="preserve">Art. 9</w:t>
            </w:r>
          </w:p>
        </w:tc>
        <w:tc>
          <w:tcPr/>
          <w:p>
            <w:pPr>
              <w:pStyle w:val="Compact"/>
            </w:pPr>
            <w:r>
              <w:t xml:space="preserve">Inventario de bases de datos que contienen datos personales.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CSF (referencial)</w:t>
            </w:r>
          </w:p>
        </w:tc>
        <w:tc>
          <w:tcPr/>
          <w:p>
            <w:pPr>
              <w:pStyle w:val="Compact"/>
            </w:pPr>
            <w:r>
              <w:t xml:space="preserve">ID.AM</w:t>
            </w:r>
          </w:p>
        </w:tc>
        <w:tc>
          <w:tcPr/>
          <w:p>
            <w:pPr>
              <w:pStyle w:val="Compact"/>
            </w:pPr>
            <w:r>
              <w:t xml:space="preserve">Identification &amp; asset management.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SI-ACT-02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bookmarkStart w:id="10" w:name="historial-de-versiones"/>
    <w:p>
      <w:pPr>
        <w:pStyle w:val="Heading3"/>
      </w:pPr>
      <w:r>
        <w:t xml:space="preserve">Historial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Mantener un inventario completo, actualizado y clasificado de los activos de información que soportan la solución</w:t>
      </w:r>
      <w:r>
        <w:t xml:space="preserve"> </w:t>
      </w:r>
      <w:r>
        <w:rPr>
          <w:rStyle w:val="VerbatimChar"/>
        </w:rPr>
        <w:t xml:space="preserve">[Solución]</w:t>
      </w:r>
      <w:r>
        <w:t xml:space="preserve">, para poder priorizar su protección, medir el riesgo y demostrar cumplimiento.</w:t>
      </w:r>
    </w:p>
    <w:bookmarkEnd w:id="12"/>
    <w:bookmarkStart w:id="13" w:name="metodología"/>
    <w:p>
      <w:pPr>
        <w:pStyle w:val="Heading2"/>
      </w:pPr>
      <w:r>
        <w:t xml:space="preserve">2. Metodología</w:t>
      </w:r>
    </w:p>
    <w:p>
      <w:pPr>
        <w:pStyle w:val="Compact"/>
        <w:numPr>
          <w:ilvl w:val="0"/>
          <w:numId w:val="1001"/>
        </w:numPr>
      </w:pPr>
      <w:r>
        <w:t xml:space="preserve">Identificación: componentes físicos, lógicos, de datos y de servicios de la solución completa (por ej. BD, servidores, SIEM, contenedores, credenciales, correo electrónico).</w:t>
      </w:r>
    </w:p>
    <w:p>
      <w:pPr>
        <w:pStyle w:val="Compact"/>
        <w:numPr>
          <w:ilvl w:val="0"/>
          <w:numId w:val="1001"/>
        </w:numPr>
      </w:pPr>
      <w:r>
        <w:t xml:space="preserve">Clasificación según confidencialidad e impacto.</w:t>
      </w:r>
    </w:p>
    <w:p>
      <w:pPr>
        <w:pStyle w:val="Compact"/>
        <w:numPr>
          <w:ilvl w:val="0"/>
          <w:numId w:val="1001"/>
        </w:numPr>
      </w:pPr>
      <w:r>
        <w:t xml:space="preserve">Dueños designados para cada activo.</w:t>
      </w:r>
    </w:p>
    <w:p>
      <w:pPr>
        <w:pStyle w:val="Compact"/>
        <w:numPr>
          <w:ilvl w:val="0"/>
          <w:numId w:val="1001"/>
        </w:numPr>
      </w:pPr>
      <w:r>
        <w:t xml:space="preserve">Revisión periódica</w:t>
      </w:r>
      <w:r>
        <w:t xml:space="preserve"> </w:t>
      </w:r>
      <w:r>
        <w:rPr>
          <w:rStyle w:val="VerbatimChar"/>
        </w:rPr>
        <w:t xml:space="preserve">[mensual / trimestral]</w:t>
      </w:r>
      <w:r>
        <w:t xml:space="preserve">.</w:t>
      </w:r>
    </w:p>
    <w:bookmarkEnd w:id="13"/>
    <w:bookmarkStart w:id="14" w:name="clasificación"/>
    <w:p>
      <w:pPr>
        <w:pStyle w:val="Heading2"/>
      </w:pPr>
      <w:r>
        <w:t xml:space="preserve">3. Clasificación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Impacto si se compromete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Sin restricción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landing]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Interno</w:t>
            </w:r>
          </w:p>
        </w:tc>
        <w:tc>
          <w:tcPr/>
          <w:p>
            <w:pPr>
              <w:pStyle w:val="Compact"/>
            </w:pPr>
            <w:r>
              <w:t xml:space="preserve">Uso interno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manuales]</w:t>
            </w:r>
          </w:p>
        </w:tc>
        <w:tc>
          <w:tcPr/>
          <w:p>
            <w:pPr>
              <w:pStyle w:val="Compact"/>
            </w:pPr>
            <w:r>
              <w:t xml:space="preserve">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Acceso restringido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datos usuarios]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Secreto</w:t>
            </w:r>
          </w:p>
        </w:tc>
        <w:tc>
          <w:tcPr/>
          <w:p>
            <w:pPr>
              <w:pStyle w:val="Compact"/>
            </w:pPr>
            <w:r>
              <w:t xml:space="preserve">Altamente restringido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llaves maestras, hash]</w:t>
            </w:r>
          </w:p>
        </w:tc>
        <w:tc>
          <w:tcPr/>
          <w:p>
            <w:pPr>
              <w:pStyle w:val="Compact"/>
            </w:pPr>
            <w:r>
              <w:t xml:space="preserve">Muy alto</w:t>
            </w:r>
          </w:p>
        </w:tc>
      </w:tr>
    </w:tbl>
    <w:bookmarkEnd w:id="14"/>
    <w:bookmarkStart w:id="15" w:name="inventario-de-activos"/>
    <w:p>
      <w:pPr>
        <w:pStyle w:val="Heading2"/>
      </w:pPr>
      <w:r>
        <w:t xml:space="preserve">4. Inventario de activos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 del activo</w:t>
            </w:r>
          </w:p>
        </w:tc>
        <w:tc>
          <w:tcPr/>
          <w:p>
            <w:pPr>
              <w:pStyle w:val="Compact"/>
            </w:pPr>
            <w:r>
              <w:t xml:space="preserve">Tipo (HW/SW/Dato/Servicio)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Dueño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Crítico (S/N)</w:t>
            </w:r>
          </w:p>
        </w:tc>
        <w:tc>
          <w:tcPr/>
          <w:p>
            <w:pPr>
              <w:pStyle w:val="Compact"/>
            </w:pPr>
            <w:r>
              <w:t xml:space="preserve">Software/versión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El inventario DEBE cubrir toda la solución de la letra: infraestructura, plataforma central, agentes/sensores, SIEM, base de datos, servidor de mail, servicios de autenticación, etc.</w:t>
      </w:r>
    </w:p>
    <w:bookmarkEnd w:id="15"/>
    <w:bookmarkStart w:id="16" w:name="matriz-crítica-para-riesgo-e-impacto"/>
    <w:p>
      <w:pPr>
        <w:pStyle w:val="Heading2"/>
      </w:pPr>
      <w:r>
        <w:t xml:space="preserve">5. Matriz crítica (para riesgo e impacto)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 de negocio</w:t>
            </w:r>
          </w:p>
        </w:tc>
        <w:tc>
          <w:tcPr/>
          <w:p>
            <w:pPr>
              <w:pStyle w:val="Compact"/>
            </w:pPr>
            <w:r>
              <w:t xml:space="preserve">Activos que lo soportan</w:t>
            </w:r>
          </w:p>
        </w:tc>
        <w:tc>
          <w:tcPr/>
          <w:p>
            <w:pPr>
              <w:pStyle w:val="Compact"/>
            </w:pPr>
            <w:r>
              <w:t xml:space="preserve">Categoría más alta</w:t>
            </w:r>
          </w:p>
        </w:tc>
        <w:tc>
          <w:tcPr/>
          <w:p>
            <w:pPr>
              <w:pStyle w:val="Compact"/>
            </w:pPr>
            <w:r>
              <w:t xml:space="preserve">RTO deseado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[Proceso]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[A01, A02...]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[Alta]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[horas]</w:t>
            </w:r>
          </w:p>
        </w:tc>
      </w:tr>
    </w:tbl>
    <w:bookmarkEnd w:id="16"/>
    <w:bookmarkStart w:id="17" w:name="responsabilidades"/>
    <w:p>
      <w:pPr>
        <w:pStyle w:val="Heading2"/>
      </w:pPr>
      <w:r>
        <w:t xml:space="preserve">6.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Dueño del activo</w:t>
            </w:r>
          </w:p>
        </w:tc>
        <w:tc>
          <w:tcPr/>
          <w:p>
            <w:pPr>
              <w:pStyle w:val="Compact"/>
            </w:pPr>
            <w:r>
              <w:t xml:space="preserve">Clasificar, aprobar accesos, validar periódicamente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Mantener inventario y copias de 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</w:t>
            </w:r>
          </w:p>
        </w:tc>
        <w:tc>
          <w:tcPr/>
          <w:p>
            <w:pPr>
              <w:pStyle w:val="Compact"/>
            </w:pPr>
            <w:r>
              <w:t xml:space="preserve">Aprobar la clasificación y la matriz de criticidad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Diseño</w:t>
            </w:r>
          </w:p>
        </w:tc>
        <w:tc>
          <w:tcPr/>
          <w:p>
            <w:pPr>
              <w:pStyle w:val="Compact"/>
            </w:pPr>
            <w:r>
              <w:t xml:space="preserve">Crear inventario preliminar desde el diagrama de arquitectura</w:t>
            </w:r>
          </w:p>
        </w:tc>
        <w:tc>
          <w:tcPr/>
          <w:p>
            <w:pPr>
              <w:pStyle w:val="Compact"/>
            </w:pPr>
            <w:r>
              <w:t xml:space="preserve">Diagrama, RF/RNF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Enriquecer con lo realmente desplegado (versiones, IPs, hostnames)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 a</w:t>
            </w:r>
            <w:r>
              <w:t xml:space="preserve">, configs, GRUB/KVM,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NO se modifica; se usa como referencia para evaluar activos expuestos</w:t>
            </w:r>
          </w:p>
        </w:tc>
        <w:tc>
          <w:tcPr/>
          <w:p>
            <w:pPr>
              <w:pStyle w:val="Compact"/>
            </w:pPr>
            <w:r>
              <w:t xml:space="preserve">Informe Red Team</w:t>
            </w:r>
          </w:p>
        </w:tc>
      </w:tr>
    </w:tbl>
    <w:bookmarkEnd w:id="18"/>
    <w:bookmarkStart w:id="19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2"/>
        </w:numPr>
      </w:pPr>
      <w:r>
        <w:t xml:space="preserve">Todos los componentes de la solución tienen un ID de activo.</w:t>
      </w:r>
    </w:p>
    <w:p>
      <w:pPr>
        <w:pStyle w:val="Compact"/>
        <w:numPr>
          <w:ilvl w:val="0"/>
          <w:numId w:val="1003"/>
        </w:numPr>
      </w:pPr>
      <w:r>
        <w:t xml:space="preserve">Cada activo tiene dueño y clasificación.</w:t>
      </w:r>
    </w:p>
    <w:p>
      <w:pPr>
        <w:pStyle w:val="Compact"/>
        <w:numPr>
          <w:ilvl w:val="0"/>
          <w:numId w:val="1004"/>
        </w:numPr>
      </w:pPr>
      <w:r>
        <w:t xml:space="preserve">La matriz crítica identifica los procesos de negocio.</w:t>
      </w:r>
    </w:p>
    <w:p>
      <w:pPr>
        <w:pStyle w:val="Compact"/>
        <w:numPr>
          <w:ilvl w:val="0"/>
          <w:numId w:val="1005"/>
        </w:numPr>
      </w:pPr>
      <w:r>
        <w:t xml:space="preserve">Cubre datos personales (URCDP) y activos críticos (BCU).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2026-09-07T12:28:44Z</dcterms:created>
  <dcterms:modified xsi:type="dcterms:W3CDTF">2026-09-07T12:28:44Z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