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5e24f8b0369993455645b39bddd4c0e47f7aa3"/>
    <w:p>
      <w:pPr>
        <w:pStyle w:val="Heading1"/>
      </w:pPr>
      <w:r>
        <w:t xml:space="preserve">Plantilla ISACA/COBIT 2019 — Análisis y Tratamiento de Riesgos de TI / Ciberseguridad</w:t>
      </w:r>
    </w:p>
    <w:p>
      <w:r>
        <w:pict>
          <v:rect style="width:0;height:1.5pt" o:hralign="center" o:hrstd="t" o:hr="t"/>
        </w:pict>
      </w:r>
    </w:p>
    <w:bookmarkStart w:id="9" w:name="encabezado-de-mapeo-normativo"/>
    <w:p>
      <w:pPr>
        <w:pStyle w:val="Heading2"/>
      </w:pPr>
      <w:r>
        <w:t xml:space="preserve">Encabezado de mapeo normativo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Detalle / aporte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(función)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Responder</w:t>
            </w:r>
          </w:p>
        </w:tc>
        <w:tc>
          <w:tcPr/>
          <w:p>
            <w:pPr>
              <w:pStyle w:val="Compact"/>
            </w:pPr>
            <w:r>
              <w:t xml:space="preserve">Identificación y evaluación de riesgos (ID-02, ID-03); respuesta al riesgo.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(categorías)</w:t>
            </w:r>
          </w:p>
        </w:tc>
        <w:tc>
          <w:tcPr/>
          <w:p>
            <w:pPr>
              <w:pStyle w:val="Compact"/>
            </w:pPr>
            <w:r>
              <w:t xml:space="preserve">ID-02, ID-03, RS-01</w:t>
            </w:r>
          </w:p>
        </w:tc>
        <w:tc>
          <w:tcPr/>
          <w:p>
            <w:pPr>
              <w:pStyle w:val="Compact"/>
            </w:pPr>
            <w:r>
              <w:t xml:space="preserve">Evaluación de riesgos, gestión de riesgos internos/externos.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COBIT 2019</w:t>
            </w:r>
          </w:p>
        </w:tc>
        <w:tc>
          <w:tcPr/>
          <w:p>
            <w:pPr>
              <w:pStyle w:val="Compact"/>
            </w:pPr>
            <w:r>
              <w:t xml:space="preserve">APO12 (Gestión del Riesgo), EDM03</w:t>
            </w:r>
          </w:p>
        </w:tc>
        <w:tc>
          <w:tcPr/>
          <w:p>
            <w:pPr>
              <w:pStyle w:val="Compact"/>
            </w:pPr>
            <w:r>
              <w:t xml:space="preserve">Proceso central de gestión de riesgo.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A.5.1, A.5.8, A.5.28</w:t>
            </w:r>
          </w:p>
        </w:tc>
        <w:tc>
          <w:tcPr/>
          <w:p>
            <w:pPr>
              <w:pStyle w:val="Compact"/>
            </w:pPr>
            <w:r>
              <w:t xml:space="preserve">Cláusula 6.1 (acciones frente a riesgos) y controles.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31000</w:t>
            </w:r>
          </w:p>
        </w:tc>
        <w:tc>
          <w:tcPr/>
          <w:p>
            <w:pPr>
              <w:pStyle w:val="Compact"/>
            </w:pPr>
            <w:r>
              <w:t xml:space="preserve">Todas</w:t>
            </w:r>
          </w:p>
        </w:tc>
        <w:tc>
          <w:tcPr/>
          <w:p>
            <w:pPr>
              <w:pStyle w:val="Compact"/>
            </w:pPr>
            <w:r>
              <w:t xml:space="preserve">Marco internacional de gestión del riesgo.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BCU — Guía de Seguridad de la Información</w:t>
            </w:r>
          </w:p>
        </w:tc>
        <w:tc>
          <w:tcPr/>
          <w:p>
            <w:pPr>
              <w:pStyle w:val="Compact"/>
            </w:pPr>
            <w:r>
              <w:t xml:space="preserve">Requisito de gestión de riesgo</w:t>
            </w:r>
          </w:p>
        </w:tc>
        <w:tc>
          <w:tcPr/>
          <w:p>
            <w:pPr>
              <w:pStyle w:val="Compact"/>
            </w:pPr>
            <w:r>
              <w:t xml:space="preserve">Evaluación de riesgos periódica y documentada por la Alta Dirección.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URCDP — Ley 18.331</w:t>
            </w:r>
          </w:p>
        </w:tc>
        <w:tc>
          <w:tcPr/>
          <w:p>
            <w:pPr>
              <w:pStyle w:val="Compact"/>
            </w:pPr>
            <w:r>
              <w:t xml:space="preserve">Art. 9 (medidas de seguridad)</w:t>
            </w:r>
          </w:p>
        </w:tc>
        <w:tc>
          <w:tcPr/>
          <w:p>
            <w:pPr>
              <w:pStyle w:val="Compact"/>
            </w:pPr>
            <w:r>
              <w:t xml:space="preserve">Riesgo del tratamiento de datos personales.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 de cumplimiento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docs/03-Analisis-Riesgos.md</w:t>
            </w:r>
          </w:p>
        </w:tc>
        <w:tc>
          <w:tcPr/>
          <w:p>
            <w:pPr>
              <w:pStyle w:val="Compact"/>
            </w:pPr>
            <w:r>
              <w:t xml:space="preserve">Entregable del hito de análisis.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control-del-documento"/>
    <w:p>
      <w:pPr>
        <w:pStyle w:val="Heading2"/>
      </w:pPr>
      <w:r>
        <w:t xml:space="preserve">Control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SI-RSK-03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Metodología</w:t>
            </w:r>
          </w:p>
        </w:tc>
        <w:tc>
          <w:tcPr/>
          <w:p>
            <w:pPr>
              <w:pStyle w:val="Compact"/>
            </w:pPr>
            <w:r>
              <w:t xml:space="preserve">ISO 31000 + COBIT APO12 + MCU 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[DD/MM/AAAA]</w:t>
            </w:r>
          </w:p>
        </w:tc>
      </w:tr>
    </w:tbl>
    <w:bookmarkStart w:id="10" w:name="historial-de-versiones"/>
    <w:p>
      <w:pPr>
        <w:pStyle w:val="Heading3"/>
      </w:pPr>
      <w:r>
        <w:t xml:space="preserve">Historial de versiones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contexto"/>
    <w:p>
      <w:pPr>
        <w:pStyle w:val="Heading2"/>
      </w:pPr>
      <w:r>
        <w:t xml:space="preserve">1. Contexto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Organización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[Organización]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Solución analizada</w:t>
      </w:r>
      <w:r>
        <w:t xml:space="preserve">:</w:t>
      </w:r>
      <w:r>
        <w:t xml:space="preserve"> </w:t>
      </w:r>
      <w:r>
        <w:rPr>
          <w:rStyle w:val="VerbatimChar"/>
        </w:rPr>
        <w:t xml:space="preserve">[Solución y alcance]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Criterios de riesgo aceptados por la organización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[Ej.: aceptar riesgos &lt; X; exigir tratamiento de los demás]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Horizonte temporal</w:t>
      </w:r>
      <w:r>
        <w:t xml:space="preserve">:</w:t>
      </w:r>
      <w:r>
        <w:t xml:space="preserve"> </w:t>
      </w:r>
      <w:r>
        <w:rPr>
          <w:rStyle w:val="VerbatimChar"/>
        </w:rPr>
        <w:t xml:space="preserve">[trimestre / año]</w:t>
      </w:r>
    </w:p>
    <w:bookmarkEnd w:id="12"/>
    <w:bookmarkStart w:id="13" w:name="identificación-de-activos-y-amenazas"/>
    <w:p>
      <w:pPr>
        <w:pStyle w:val="Heading2"/>
      </w:pPr>
      <w:r>
        <w:t xml:space="preserve">2. Identificación de activos y amenazas</w:t>
      </w:r>
    </w:p>
    <w:p>
      <w:pPr>
        <w:pStyle w:val="FirstParagraph"/>
      </w:pPr>
      <w:r>
        <w:t xml:space="preserve">Identifique, para los activos críticos del inventario (</w:t>
      </w:r>
      <w:r>
        <w:rPr>
          <w:rStyle w:val="VerbatimChar"/>
        </w:rPr>
        <w:t xml:space="preserve">02-registro-activos</w:t>
      </w:r>
      <w:r>
        <w:t xml:space="preserve">), las amenazas relevantes: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Amenaza</w:t>
            </w:r>
          </w:p>
        </w:tc>
        <w:tc>
          <w:tcPr/>
          <w:p>
            <w:pPr>
              <w:pStyle w:val="Compact"/>
            </w:pPr>
            <w:r>
              <w:t xml:space="preserve">Origen (interno/externo/accidental/deliberado)</w:t>
            </w:r>
          </w:p>
        </w:tc>
        <w:tc>
          <w:tcPr/>
          <w:p>
            <w:pPr>
              <w:pStyle w:val="Compact"/>
            </w:pPr>
            <w:r>
              <w:t xml:space="preserve">Vulnerabilidad asociada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7" w:name="análisis-de-riesgo-cualitativo"/>
    <w:p>
      <w:pPr>
        <w:pStyle w:val="Heading2"/>
      </w:pPr>
      <w:r>
        <w:t xml:space="preserve">3. Análisis de riesgo (cualitativo)</w:t>
      </w:r>
    </w:p>
    <w:bookmarkStart w:id="14" w:name="escala-de-probabilidad"/>
    <w:p>
      <w:pPr>
        <w:pStyle w:val="Heading3"/>
      </w:pPr>
      <w:r>
        <w:t xml:space="preserve">3.1 Escala de probabilidad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Muy baja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Improbable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Poco probable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Muy alta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Casi seguro</w:t>
            </w:r>
          </w:p>
        </w:tc>
      </w:tr>
    </w:tbl>
    <w:bookmarkEnd w:id="14"/>
    <w:bookmarkStart w:id="15" w:name="escala-de-impacto"/>
    <w:p>
      <w:pPr>
        <w:pStyle w:val="Heading3"/>
      </w:pPr>
      <w:r>
        <w:t xml:space="preserve">3.2 Escala de impacto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Insignificante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Impacto despreciable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Pérdida aislada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Moderado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Daño operativo recuperable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Mayor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Daño significativo (multas, clientes)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Catastrófico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Pérdida de negocio / sanción grave</w:t>
            </w:r>
          </w:p>
        </w:tc>
      </w:tr>
    </w:tbl>
    <w:bookmarkEnd w:id="15"/>
    <w:bookmarkStart w:id="16" w:name="matriz-de-riesgo-55"/>
    <w:p>
      <w:pPr>
        <w:pStyle w:val="Heading3"/>
      </w:pPr>
      <w:r>
        <w:t xml:space="preserve">3.3 Matriz de riesgo (5×5)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 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lockText"/>
      </w:pPr>
      <w:r>
        <w:t xml:space="preserve">B: Bajo; M: Medio; A: Alto; C: Crítico.</w:t>
      </w:r>
    </w:p>
    <w:bookmarkEnd w:id="16"/>
    <w:bookmarkEnd w:id="17"/>
    <w:bookmarkStart w:id="18" w:name="registro-de-riesgos-y-evaluación"/>
    <w:p>
      <w:pPr>
        <w:pStyle w:val="Heading2"/>
      </w:pPr>
      <w:r>
        <w:t xml:space="preserve">4. Registro de riesgos y evaluación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Activos afectados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Nivel (B/M/A/C)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Tratamiento (M/T/R/A)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M = Mitigar; T = Transferir; R = Retener (aceptar); A = Evitar.</w:t>
      </w:r>
    </w:p>
    <w:bookmarkEnd w:id="18"/>
    <w:bookmarkStart w:id="19" w:name="plan-de-tratamiento-de-riesgos"/>
    <w:p>
      <w:pPr>
        <w:pStyle w:val="Heading2"/>
      </w:pPr>
      <w:r>
        <w:t xml:space="preserve">5. Plan de tratamiento de riesgos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Riesgo</w:t>
            </w:r>
          </w:p>
        </w:tc>
        <w:tc>
          <w:tcPr/>
          <w:p>
            <w:pPr>
              <w:pStyle w:val="Compact"/>
            </w:pPr>
            <w:r>
              <w:t xml:space="preserve">Acción de tratamiento</w:t>
            </w:r>
          </w:p>
        </w:tc>
        <w:tc>
          <w:tcPr/>
          <w:p>
            <w:pPr>
              <w:pStyle w:val="Compact"/>
            </w:pPr>
            <w:r>
              <w:t xml:space="preserve">Control/medida a implementar</w:t>
            </w:r>
          </w:p>
        </w:tc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Fecha objetivo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riesgo-residual-y-aceptación"/>
    <w:p>
      <w:pPr>
        <w:pStyle w:val="Heading2"/>
      </w:pPr>
      <w:r>
        <w:t xml:space="preserve">6. Riesgo residual y aceptación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Riesgo residual (post-tratamiento)</w:t>
            </w:r>
          </w:p>
        </w:tc>
        <w:tc>
          <w:tcPr/>
          <w:p>
            <w:pPr>
              <w:pStyle w:val="Compact"/>
            </w:pPr>
            <w:r>
              <w:t xml:space="preserve">Aceptado por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RSI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guía-de-llenado-blue-team"/>
    <w:p>
      <w:pPr>
        <w:pStyle w:val="Heading2"/>
      </w:pPr>
      <w:r>
        <w:t xml:space="preserve">Guía de llenado (Blue Team)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Cómo completar</w:t>
            </w:r>
          </w:p>
        </w:tc>
        <w:tc>
          <w:tcPr/>
          <w:p>
            <w:pPr>
              <w:pStyle w:val="Compact"/>
            </w:pPr>
            <w:r>
              <w:t xml:space="preserve">Con qué 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Diseño</w:t>
            </w:r>
          </w:p>
        </w:tc>
        <w:tc>
          <w:tcPr/>
          <w:p>
            <w:pPr>
              <w:pStyle w:val="Compact"/>
            </w:pPr>
            <w:r>
              <w:t xml:space="preserve">Riesgos preliminares de arquitectura y diseño</w:t>
            </w:r>
          </w:p>
        </w:tc>
        <w:tc>
          <w:tcPr/>
          <w:p>
            <w:pPr>
              <w:pStyle w:val="Compact"/>
            </w:pPr>
            <w:r>
              <w:t xml:space="preserve">Diagrama, 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Implementación</w:t>
            </w:r>
          </w:p>
        </w:tc>
        <w:tc>
          <w:tcPr/>
          <w:p>
            <w:pPr>
              <w:pStyle w:val="Compact"/>
            </w:pPr>
            <w:r>
              <w:t xml:space="preserve">Riesgos reales del entorno desplegado (ej.: secretos en BD, puertos expuestos, mail sin TLS)</w:t>
            </w:r>
          </w:p>
        </w:tc>
        <w:tc>
          <w:tcPr/>
          <w:p>
            <w:pPr>
              <w:pStyle w:val="Compact"/>
            </w:pPr>
            <w:r>
              <w:t xml:space="preserve">Escaneos NMAP,</w:t>
            </w:r>
            <w:r>
              <w:t xml:space="preserve"> </w:t>
            </w:r>
            <w:r>
              <w:rPr>
                <w:rStyle w:val="VerbatimChar"/>
              </w:rPr>
              <w:t xml:space="preserve">docker exec</w:t>
            </w:r>
            <w:r>
              <w:t xml:space="preserve">,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Pre-Red Team</w:t>
            </w:r>
          </w:p>
        </w:tc>
        <w:tc>
          <w:tcPr/>
          <w:p>
            <w:pPr>
              <w:pStyle w:val="Compact"/>
            </w:pPr>
            <w:r>
              <w:t xml:space="preserve">Identificar riesgos residuales a validar por el Red Team</w:t>
            </w:r>
          </w:p>
        </w:tc>
        <w:tc>
          <w:tcPr/>
          <w:p>
            <w:pPr>
              <w:pStyle w:val="Compact"/>
            </w:pPr>
            <w:r>
              <w:t xml:space="preserve">Formulario/especificación de ataque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Team</w:t>
            </w:r>
          </w:p>
        </w:tc>
        <w:tc>
          <w:tcPr/>
          <w:p>
            <w:pPr>
              <w:pStyle w:val="Compact"/>
            </w:pPr>
            <w:r>
              <w:t xml:space="preserve">El Red Team usa esta matriz para priorizar vectores de ataque</w:t>
            </w:r>
          </w:p>
        </w:tc>
        <w:tc>
          <w:tcPr/>
          <w:p>
            <w:pPr>
              <w:pStyle w:val="Compact"/>
            </w:pPr>
            <w:r>
              <w:t xml:space="preserve">Informe técnico</w:t>
            </w:r>
          </w:p>
        </w:tc>
      </w:tr>
    </w:tbl>
    <w:bookmarkEnd w:id="21"/>
    <w:bookmarkStart w:id="22" w:name="check-de-aceptación"/>
    <w:p>
      <w:pPr>
        <w:pStyle w:val="Heading2"/>
      </w:pPr>
      <w:r>
        <w:t xml:space="preserve">Check de aceptación</w:t>
      </w:r>
    </w:p>
    <w:p>
      <w:pPr>
        <w:pStyle w:val="Compact"/>
        <w:numPr>
          <w:ilvl w:val="0"/>
          <w:numId w:val="1003"/>
        </w:numPr>
      </w:pPr>
      <w:r>
        <w:t xml:space="preserve">Activos críticos con amenazas identificadas.</w:t>
      </w:r>
    </w:p>
    <w:p>
      <w:pPr>
        <w:pStyle w:val="Compact"/>
        <w:numPr>
          <w:ilvl w:val="0"/>
          <w:numId w:val="1004"/>
        </w:numPr>
      </w:pPr>
      <w:r>
        <w:t xml:space="preserve">Riesgos evaluados con probabilidad/impacto y nivel.</w:t>
      </w:r>
    </w:p>
    <w:p>
      <w:pPr>
        <w:pStyle w:val="Compact"/>
        <w:numPr>
          <w:ilvl w:val="0"/>
          <w:numId w:val="1005"/>
        </w:numPr>
      </w:pPr>
      <w:r>
        <w:t xml:space="preserve">Plan de tratamiento con responsables y fechas.</w:t>
      </w:r>
    </w:p>
    <w:p>
      <w:pPr>
        <w:pStyle w:val="Compact"/>
        <w:numPr>
          <w:ilvl w:val="0"/>
          <w:numId w:val="1006"/>
        </w:numPr>
      </w:pPr>
      <w:r>
        <w:t xml:space="preserve">Riesgo residual aceptado formalmente por el RSI.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2026-09-07T12:28:44Z</dcterms:created>
  <dcterms:modified xsi:type="dcterms:W3CDTF">2026-09-07T12:28:44Z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