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2780ec5733221f04ffbf23fce15383f3d96ffe"/>
    <w:p>
      <w:pPr>
        <w:pStyle w:val="Heading1"/>
      </w:pPr>
      <w:r>
        <w:t xml:space="preserve">Plantilla ISACA/COBIT 2019 — Gestión de Vulnerabilidades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Proteger</w:t>
            </w:r>
          </w:p>
        </w:tc>
        <w:tc>
          <w:tcPr/>
          <w:p>
            <w:pPr>
              <w:pStyle w:val="Compact"/>
            </w:pPr>
            <w:r>
              <w:t xml:space="preserve">Gestión de vulnerabilidades y remediación.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ID-03 Vulnerabilidades, PR-01</w:t>
            </w:r>
          </w:p>
        </w:tc>
        <w:tc>
          <w:tcPr/>
          <w:p>
            <w:pPr>
              <w:pStyle w:val="Compact"/>
            </w:pPr>
            <w:r>
              <w:t xml:space="preserve">Detección/remediación de vulnerabilidades.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APO12, DSS05</w:t>
            </w:r>
          </w:p>
        </w:tc>
        <w:tc>
          <w:tcPr/>
          <w:p>
            <w:pPr>
              <w:pStyle w:val="Compact"/>
            </w:pPr>
            <w:r>
              <w:t xml:space="preserve">Proceso de gestión de vulnerabilidades y parches.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A.8.8 Gestión de vulnerabilidades técnicas</w:t>
            </w:r>
          </w:p>
        </w:tc>
        <w:tc>
          <w:tcPr/>
          <w:p>
            <w:pPr>
              <w:pStyle w:val="Compact"/>
            </w:pPr>
            <w:r>
              <w:t xml:space="preserve">Pruebas, priorización, parcheo.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27002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Guía de gestión de vulnerabilidades.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Requisito de gestión de vulnerabilidades/parches</w:t>
            </w:r>
          </w:p>
        </w:tc>
        <w:tc>
          <w:tcPr/>
          <w:p>
            <w:pPr>
              <w:pStyle w:val="Compact"/>
            </w:pPr>
            <w:r>
              <w:t xml:space="preserve">Mantener sistemas actualizados y gestionar vulnerabilidades críticas.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18.331, Art. 9</w:t>
            </w:r>
          </w:p>
        </w:tc>
        <w:tc>
          <w:tcPr/>
          <w:p>
            <w:pPr>
              <w:pStyle w:val="Compact"/>
            </w:pPr>
            <w:r>
              <w:t xml:space="preserve">Seguridad de datos personales</w:t>
            </w:r>
          </w:p>
        </w:tc>
        <w:tc>
          <w:tcPr/>
          <w:p>
            <w:pPr>
              <w:pStyle w:val="Compact"/>
            </w:pPr>
            <w:r>
              <w:t xml:space="preserve">La remediación de vulnerabilidades previene incidentes de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/ MITRE ATT&amp;CK (referencial)</w:t>
            </w:r>
          </w:p>
        </w:tc>
        <w:tc>
          <w:tcPr/>
          <w:p>
            <w:pPr>
              <w:pStyle w:val="Compact"/>
            </w:pPr>
            <w:r>
              <w:t xml:space="preserve">Pruebas de seguridad</w:t>
            </w:r>
          </w:p>
        </w:tc>
        <w:tc>
          <w:tcPr/>
          <w:p>
            <w:pPr>
              <w:pStyle w:val="Compact"/>
            </w:pPr>
            <w:r>
              <w:t xml:space="preserve">Marco técnico de pruebas y técnicas.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SI-VUL-10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erramientas-utilizadas"/>
    <w:p>
      <w:pPr>
        <w:pStyle w:val="Heading2"/>
      </w:pPr>
      <w:r>
        <w:t xml:space="preserve">1. Herramientas utilizadas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OpenVAS / Greenbone</w:t>
            </w:r>
          </w:p>
        </w:tc>
        <w:tc>
          <w:tcPr/>
          <w:p>
            <w:pPr>
              <w:pStyle w:val="Compact"/>
            </w:pPr>
            <w:r>
              <w:t xml:space="preserve">Escaneo de vulnerabilidades</w:t>
            </w:r>
          </w:p>
        </w:tc>
        <w:tc>
          <w:tcPr/>
          <w:p>
            <w:pPr>
              <w:pStyle w:val="Compact"/>
            </w:pPr>
            <w:r>
              <w:t xml:space="preserve">Red, 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NMAP / Masscan</w:t>
            </w:r>
          </w:p>
        </w:tc>
        <w:tc>
          <w:tcPr/>
          <w:p>
            <w:pPr>
              <w:pStyle w:val="Compact"/>
            </w:pPr>
            <w:r>
              <w:t xml:space="preserve">Inventario de puertos y servicios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nuclei / nikto</w:t>
            </w:r>
          </w:p>
        </w:tc>
        <w:tc>
          <w:tcPr/>
          <w:p>
            <w:pPr>
              <w:pStyle w:val="Compact"/>
            </w:pPr>
            <w:r>
              <w:t xml:space="preserve">Web app testing</w:t>
            </w:r>
          </w:p>
        </w:tc>
        <w:tc>
          <w:tcPr/>
          <w:p>
            <w:pPr>
              <w:pStyle w:val="Compact"/>
            </w:pPr>
            <w:r>
              <w:t xml:space="preserve">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Dependency-check / Trivy</w:t>
            </w:r>
          </w:p>
        </w:tc>
        <w:tc>
          <w:tcPr/>
          <w:p>
            <w:pPr>
              <w:pStyle w:val="Compact"/>
            </w:pPr>
            <w:r>
              <w:t xml:space="preserve">Dependencias y contenedores</w:t>
            </w:r>
          </w:p>
        </w:tc>
        <w:tc>
          <w:tcPr/>
          <w:p>
            <w:pPr>
              <w:pStyle w:val="Compact"/>
            </w:pPr>
            <w:r>
              <w:t xml:space="preserve">Docker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 / bandit / semgrep</w:t>
            </w:r>
          </w:p>
        </w:tc>
        <w:tc>
          <w:tcPr/>
          <w:p>
            <w:pPr>
              <w:pStyle w:val="Compact"/>
            </w:pPr>
            <w:r>
              <w:t xml:space="preserve">Secretos / SAST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FIM/CVE</w:t>
            </w:r>
          </w:p>
        </w:tc>
        <w:tc>
          <w:tcPr/>
          <w:p>
            <w:pPr>
              <w:pStyle w:val="Compact"/>
            </w:pPr>
            <w:r>
              <w:t xml:space="preserve">Detección de parches faltantes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</w:p>
        </w:tc>
      </w:tr>
    </w:tbl>
    <w:bookmarkEnd w:id="11"/>
    <w:bookmarkStart w:id="12" w:name="registro-de-vulnerabilidades"/>
    <w:p>
      <w:pPr>
        <w:pStyle w:val="Heading2"/>
      </w:pPr>
      <w:r>
        <w:t xml:space="preserve">2. Registro de vulnerabilidades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CVSS v3</w:t>
            </w:r>
          </w:p>
        </w:tc>
        <w:tc>
          <w:tcPr/>
          <w:p>
            <w:pPr>
              <w:pStyle w:val="Compact"/>
            </w:pPr>
            <w:r>
              <w:t xml:space="preserve">Activo afectado</w:t>
            </w:r>
          </w:p>
        </w:tc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Estado (abierta/rem)</w:t>
            </w:r>
          </w:p>
        </w:tc>
        <w:tc>
          <w:tcPr/>
          <w:p>
            <w:pPr>
              <w:pStyle w:val="Compact"/>
            </w:pPr>
            <w:r>
              <w:t xml:space="preserve">Fecha detect</w:t>
            </w:r>
          </w:p>
        </w:tc>
        <w:tc>
          <w:tcPr/>
          <w:p>
            <w:pPr>
              <w:pStyle w:val="Compact"/>
            </w:pPr>
            <w:r>
              <w:t xml:space="preserve">Fecha rem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priorización-de-remediación"/>
    <w:p>
      <w:pPr>
        <w:pStyle w:val="Heading2"/>
      </w:pPr>
      <w:r>
        <w:t xml:space="preserve">3. Priorización de remediación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Gravedad</w:t>
            </w:r>
          </w:p>
        </w:tc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SLA de remediación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9.0–10.0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7.0–8.9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4.0–6.9</w:t>
            </w:r>
          </w:p>
        </w:tc>
        <w:tc>
          <w:tcPr/>
          <w:p>
            <w:pPr>
              <w:pStyle w:val="Compact"/>
            </w:pPr>
            <w:r>
              <w:t xml:space="preserve">30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0.1–3.9</w:t>
            </w:r>
          </w:p>
        </w:tc>
        <w:tc>
          <w:tcPr/>
          <w:p>
            <w:pPr>
              <w:pStyle w:val="Compact"/>
            </w:pPr>
            <w:r>
              <w:t xml:space="preserve">90 días</w:t>
            </w:r>
          </w:p>
        </w:tc>
      </w:tr>
    </w:tbl>
    <w:bookmarkEnd w:id="13"/>
    <w:bookmarkStart w:id="14" w:name="ventana-de-parcheo"/>
    <w:p>
      <w:pPr>
        <w:pStyle w:val="Heading2"/>
      </w:pPr>
      <w:r>
        <w:t xml:space="preserve">4. Ventana de parcheo</w:t>
      </w:r>
    </w:p>
    <w:p>
      <w:pPr>
        <w:pStyle w:val="Compact"/>
        <w:numPr>
          <w:ilvl w:val="0"/>
          <w:numId w:val="1001"/>
        </w:numPr>
      </w:pPr>
      <w:r>
        <w:t xml:space="preserve">Lunes a</w:t>
      </w:r>
      <w:r>
        <w:t xml:space="preserve"> </w:t>
      </w:r>
      <w:r>
        <w:rPr>
          <w:rStyle w:val="VerbatimChar"/>
        </w:rPr>
        <w:t xml:space="preserve">[días]</w:t>
      </w:r>
      <w:r>
        <w:t xml:space="preserve">, ventana</w:t>
      </w:r>
      <w:r>
        <w:t xml:space="preserve"> </w:t>
      </w:r>
      <w:r>
        <w:rPr>
          <w:rStyle w:val="VerbatimChar"/>
        </w:rPr>
        <w:t xml:space="preserve">[hora]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debe aplicar en entorno de prueba primero.</w:t>
      </w:r>
    </w:p>
    <w:p>
      <w:pPr>
        <w:pStyle w:val="Compact"/>
        <w:numPr>
          <w:ilvl w:val="0"/>
          <w:numId w:val="1001"/>
        </w:numPr>
      </w:pPr>
      <w:r>
        <w:t xml:space="preserve">Revisión mensual de tendencias.</w:t>
      </w:r>
    </w:p>
    <w:bookmarkEnd w:id="14"/>
    <w:bookmarkStart w:id="15" w:name="tratamiento-de-falsos-positivos"/>
    <w:p>
      <w:pPr>
        <w:pStyle w:val="Heading2"/>
      </w:pPr>
      <w:r>
        <w:t xml:space="preserve">5. Tratamiento de falsos positivos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Escaneo inicial y remediación antes de entrega</w:t>
            </w:r>
          </w:p>
        </w:tc>
        <w:tc>
          <w:tcPr/>
          <w:p>
            <w:pPr>
              <w:pStyle w:val="Compact"/>
            </w:pPr>
            <w:r>
              <w:t xml:space="preserve">Escaneo OpenVAS/Nmap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Seguridad por diseño</w:t>
            </w:r>
          </w:p>
        </w:tc>
        <w:tc>
          <w:tcPr/>
          <w:p>
            <w:pPr>
              <w:pStyle w:val="Compact"/>
            </w:pPr>
            <w:r>
              <w:t xml:space="preserve">SAST análisis de código</w:t>
            </w:r>
          </w:p>
        </w:tc>
        <w:tc>
          <w:tcPr/>
          <w:p>
            <w:pPr>
              <w:pStyle w:val="Compact"/>
            </w:pPr>
            <w:r>
              <w:t xml:space="preserve">Informe semgrep/bandit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Ejecuta su propio escaneo/pentest</w:t>
            </w:r>
          </w:p>
        </w:tc>
        <w:tc>
          <w:tcPr/>
          <w:p>
            <w:pPr>
              <w:pStyle w:val="Compact"/>
            </w:pPr>
            <w:r>
              <w:t xml:space="preserve">Informe Red Team → nuevos IDs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Cerrar vulnerabilidades residuales justificando</w:t>
            </w:r>
          </w:p>
        </w:tc>
        <w:tc>
          <w:tcPr/>
          <w:p>
            <w:pPr>
              <w:pStyle w:val="Compact"/>
            </w:pPr>
            <w:r>
              <w:t xml:space="preserve">Tablero de cierre</w:t>
            </w:r>
          </w:p>
        </w:tc>
      </w:tr>
    </w:tbl>
    <w:bookmarkEnd w:id="16"/>
    <w:bookmarkStart w:id="17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2"/>
        </w:numPr>
      </w:pPr>
      <w:r>
        <w:t xml:space="preserve">Al inicio de la entrega a Red Team: sin vulnerabilidades críticas/altas abiertas sin mitigación.</w:t>
      </w:r>
    </w:p>
    <w:p>
      <w:pPr>
        <w:pStyle w:val="Compact"/>
        <w:numPr>
          <w:ilvl w:val="0"/>
          <w:numId w:val="1003"/>
        </w:numPr>
      </w:pPr>
      <w:r>
        <w:t xml:space="preserve">Registro con CVSS y SLA.</w:t>
      </w:r>
    </w:p>
    <w:p>
      <w:pPr>
        <w:pStyle w:val="Compact"/>
        <w:numPr>
          <w:ilvl w:val="0"/>
          <w:numId w:val="1004"/>
        </w:numPr>
      </w:pPr>
      <w:r>
        <w:t xml:space="preserve">Evidencia de remediación o justificación de riesgo aceptado.</w:t>
      </w:r>
    </w:p>
    <w:p>
      <w:pPr>
        <w:pStyle w:val="Compact"/>
        <w:numPr>
          <w:ilvl w:val="0"/>
          <w:numId w:val="1005"/>
        </w:numPr>
      </w:pPr>
      <w:r>
        <w:t xml:space="preserve">SAST incorporado al ciclo de desarrollo.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2026-09-07T12:57:35Z</dcterms:created>
  <dcterms:modified xsi:type="dcterms:W3CDTF">2026-09-07T12:57:35Z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