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acd8f9dc755267d57f8ec76e90027cb7d2812f"/>
    <w:p>
      <w:pPr>
        <w:pStyle w:val="Heading1"/>
      </w:pPr>
      <w:r>
        <w:t xml:space="preserve">MCU 5.0 — Marco de Ciberseguridad del Uruguay (AGESIC)</w:t>
      </w:r>
    </w:p>
    <w:p>
      <w:r>
        <w:pict>
          <v:rect style="width:0;height:1.5pt" o:hralign="center" o:hrstd="t" o:hr="t"/>
        </w:pict>
      </w:r>
    </w:p>
    <w:bookmarkStart w:id="9" w:name="qué-es-el-mcu-5.0"/>
    <w:p>
      <w:pPr>
        <w:pStyle w:val="Heading2"/>
      </w:pPr>
      <w:r>
        <w:t xml:space="preserve">1. ¿Qué es el MCU 5.0?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Marco de Ciberseguridad (MCU) 5.0</w:t>
      </w:r>
      <w:r>
        <w:t xml:space="preserve"> </w:t>
      </w:r>
      <w:r>
        <w:t xml:space="preserve">es la herramienta de referencia de AGESIC (Agencia de Gobierno Electrónico y Sociedad de la Información y del Conocimiento) para la seguridad de la información y ciberseguridad de las organizaciones uruguayas.</w:t>
      </w:r>
    </w:p>
    <w:p>
      <w:pPr>
        <w:pStyle w:val="BodyText"/>
      </w:pPr>
      <w:r>
        <w:rPr>
          <w:b/>
          <w:bCs/>
        </w:rPr>
        <w:t xml:space="preserve">Objetivo</w:t>
      </w:r>
      <w:r>
        <w:t xml:space="preserve">: reducir el riesgo vinculado a las amenazas que pueden comprometer la seguridad de la información, ofreciendo un</w:t>
      </w:r>
      <w:r>
        <w:t xml:space="preserve"> </w:t>
      </w:r>
      <w:r>
        <w:rPr>
          <w:b/>
          <w:bCs/>
        </w:rPr>
        <w:t xml:space="preserve">abordaje integral</w:t>
      </w:r>
      <w:r>
        <w:t xml:space="preserve"> </w:t>
      </w:r>
      <w:r>
        <w:t xml:space="preserve">del ciclo de vida de la ciberseguridad.</w:t>
      </w:r>
    </w:p>
    <w:bookmarkEnd w:id="9"/>
    <w:bookmarkStart w:id="12" w:name="estructura"/>
    <w:p>
      <w:pPr>
        <w:pStyle w:val="Heading2"/>
      </w:pPr>
      <w:r>
        <w:t xml:space="preserve">2. Estructura</w:t>
      </w:r>
    </w:p>
    <w:bookmarkStart w:id="10" w:name="X219c0b61b15b0eea48faa6f0b2571081ff9d49f"/>
    <w:p>
      <w:pPr>
        <w:pStyle w:val="Heading3"/>
      </w:pPr>
      <w:r>
        <w:t xml:space="preserve">2.1 Funciones del ciclo de vida (ejes del Marco)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Qué aborda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Gobernar</w:t>
            </w:r>
          </w:p>
        </w:tc>
        <w:tc>
          <w:tcPr/>
          <w:p>
            <w:pPr>
              <w:pStyle w:val="Compact"/>
            </w:pPr>
            <w:r>
              <w:t xml:space="preserve">Gobierno de la gestión del riesgo de ciberseguridad, roles, estrategia, políticas, análisis de la organización.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Identificar</w:t>
            </w:r>
          </w:p>
        </w:tc>
        <w:tc>
          <w:tcPr/>
          <w:p>
            <w:pPr>
              <w:pStyle w:val="Compact"/>
            </w:pPr>
            <w:r>
              <w:t xml:space="preserve">Comprender el contexto: activos, riesgos, vulnerabilidades y prioridades de la organización.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Proteger</w:t>
            </w:r>
          </w:p>
        </w:tc>
        <w:tc>
          <w:tcPr/>
          <w:p>
            <w:pPr>
              <w:pStyle w:val="Compact"/>
            </w:pPr>
            <w:r>
              <w:t xml:space="preserve">Salvaguardas para la gestión de los riesgos: identidad, accesos, protección de datos, mantenimiento,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Detectar</w:t>
            </w:r>
          </w:p>
        </w:tc>
        <w:tc>
          <w:tcPr/>
          <w:p>
            <w:pPr>
              <w:pStyle w:val="Compact"/>
            </w:pPr>
            <w:r>
              <w:t xml:space="preserve">Actividades para detectar tempranamente eventos y anomalías de seguridad.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Responder</w:t>
            </w:r>
          </w:p>
        </w:tc>
        <w:tc>
          <w:tcPr/>
          <w:p>
            <w:pPr>
              <w:pStyle w:val="Compact"/>
            </w:pPr>
            <w:r>
              <w:t xml:space="preserve">Actividades de respuesta a incidentes y mitigación de impacto.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Recuperar</w:t>
            </w:r>
          </w:p>
        </w:tc>
        <w:tc>
          <w:tcPr/>
          <w:p>
            <w:pPr>
              <w:pStyle w:val="Compact"/>
            </w:pPr>
            <w:r>
              <w:t xml:space="preserve">Actividades de recuperación y resiliencia (continuidad, mejora).</w:t>
            </w:r>
          </w:p>
        </w:tc>
      </w:tr>
    </w:tbl>
    <w:bookmarkEnd w:id="10"/>
    <w:bookmarkStart w:id="11" w:name="categorías-y-subcategorías"/>
    <w:p>
      <w:pPr>
        <w:pStyle w:val="Heading3"/>
      </w:pPr>
      <w:r>
        <w:t xml:space="preserve">2.2 Categorías y subcategorías</w:t>
      </w:r>
    </w:p>
    <w:p>
      <w:pPr>
        <w:pStyle w:val="FirstParagraph"/>
      </w:pPr>
      <w:r>
        <w:t xml:space="preserve">Cada función agrupa</w:t>
      </w:r>
      <w:r>
        <w:t xml:space="preserve"> </w:t>
      </w:r>
      <w:r>
        <w:rPr>
          <w:b/>
          <w:bCs/>
        </w:rPr>
        <w:t xml:space="preserve">categorías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subcategorías</w:t>
      </w:r>
      <w:r>
        <w:t xml:space="preserve"> </w:t>
      </w:r>
      <w:r>
        <w:t xml:space="preserve">(resultados deseados). La convención es</w:t>
      </w:r>
      <w:r>
        <w:t xml:space="preserve"> </w:t>
      </w:r>
      <w:r>
        <w:rPr>
          <w:rStyle w:val="VerbatimChar"/>
        </w:rPr>
        <w:t xml:space="preserve">FUNCIÓN-NroCategoría.NroSubcategoría</w:t>
      </w:r>
      <w:r>
        <w:t xml:space="preserve"> </w:t>
      </w:r>
      <w:r>
        <w:t xml:space="preserve">(por ejemplo, GV-01.01, ID-03.04, PR-01.05, DE-01.02, RS-02.03, RC-01.01).</w:t>
      </w:r>
    </w:p>
    <w:p>
      <w:pPr>
        <w:pStyle w:val="BlockText"/>
      </w:pPr>
      <w:r>
        <w:t xml:space="preserve">En las plantillas del curso se referencia por función + categoría (de manera genérica) para asociar cada entregable al eje del Marco.</w:t>
      </w:r>
    </w:p>
    <w:bookmarkEnd w:id="11"/>
    <w:bookmarkEnd w:id="12"/>
    <w:bookmarkStart w:id="13" w:name="perfiles-comunitarios"/>
    <w:p>
      <w:pPr>
        <w:pStyle w:val="Heading2"/>
      </w:pPr>
      <w:r>
        <w:t xml:space="preserve">3. Perfiles comunitarios</w:t>
      </w:r>
    </w:p>
    <w:p>
      <w:pPr>
        <w:pStyle w:val="FirstParagraph"/>
      </w:pPr>
      <w:r>
        <w:t xml:space="preserve">El MCU 5.0 define tres</w:t>
      </w:r>
      <w:r>
        <w:t xml:space="preserve"> </w:t>
      </w:r>
      <w:r>
        <w:rPr>
          <w:b/>
          <w:bCs/>
        </w:rPr>
        <w:t xml:space="preserve">perfiles comunitarios</w:t>
      </w:r>
      <w:r>
        <w:t xml:space="preserve"> </w:t>
      </w:r>
      <w:r>
        <w:t xml:space="preserve">que sirven de punto de partida según el tipo de organización: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Público objetivo</w:t>
            </w:r>
          </w:p>
        </w:tc>
        <w:tc>
          <w:tcPr/>
          <w:p>
            <w:pPr>
              <w:pStyle w:val="Compact"/>
            </w:pPr>
            <w:r>
              <w:t xml:space="preserve">Aproximación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Organizaciones con recursos limitados</w:t>
            </w:r>
          </w:p>
        </w:tc>
        <w:tc>
          <w:tcPr/>
          <w:p>
            <w:pPr>
              <w:pStyle w:val="Compact"/>
            </w:pPr>
            <w:r>
              <w:t xml:space="preserve">Conjunto mínimo de controles de ciberseguridad esenciales.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Organizaciones medianas</w:t>
            </w:r>
          </w:p>
        </w:tc>
        <w:tc>
          <w:tcPr/>
          <w:p>
            <w:pPr>
              <w:pStyle w:val="Compact"/>
            </w:pPr>
            <w:r>
              <w:t xml:space="preserve">Cubre los ejes completos del marco con esfuerzo razonable.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Avanzado</w:t>
            </w:r>
          </w:p>
        </w:tc>
        <w:tc>
          <w:tcPr/>
          <w:p>
            <w:pPr>
              <w:pStyle w:val="Compact"/>
            </w:pPr>
            <w:r>
              <w:t xml:space="preserve">Organizaciones con mayor exposición/recursos</w:t>
            </w:r>
          </w:p>
        </w:tc>
        <w:tc>
          <w:tcPr/>
          <w:p>
            <w:pPr>
              <w:pStyle w:val="Compact"/>
            </w:pPr>
            <w:r>
              <w:t xml:space="preserve">Controles profundos, automatización y mejora continua.</w:t>
            </w:r>
          </w:p>
        </w:tc>
      </w:tr>
    </w:tbl>
    <w:p>
      <w:pPr>
        <w:pStyle w:val="BodyText"/>
      </w:pPr>
      <w:r>
        <w:t xml:space="preserve">Cada perfil define una</w:t>
      </w:r>
      <w:r>
        <w:t xml:space="preserve"> </w:t>
      </w:r>
      <w:r>
        <w:rPr>
          <w:b/>
          <w:bCs/>
        </w:rPr>
        <w:t xml:space="preserve">línea base de implementación</w:t>
      </w:r>
      <w:r>
        <w:t xml:space="preserve"> </w:t>
      </w:r>
      <w:r>
        <w:t xml:space="preserve">(metas a 3 años) y se publican</w:t>
      </w:r>
      <w:r>
        <w:t xml:space="preserve"> </w:t>
      </w:r>
      <w:r>
        <w:rPr>
          <w:b/>
          <w:bCs/>
        </w:rPr>
        <w:t xml:space="preserve">planillas</w:t>
      </w:r>
      <w:r>
        <w:t xml:space="preserve"> </w:t>
      </w:r>
      <w:r>
        <w:t xml:space="preserve">oficiales de cumplimiento (formato Excel/XLSX).</w:t>
      </w:r>
    </w:p>
    <w:bookmarkEnd w:id="13"/>
    <w:bookmarkStart w:id="14" w:name="uso-del-marco-por-las-organizaciones"/>
    <w:p>
      <w:pPr>
        <w:pStyle w:val="Heading2"/>
      </w:pPr>
      <w:r>
        <w:t xml:space="preserve">4. Uso del Marco por las organizaciones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Comprender el contexto</w:t>
      </w:r>
      <w:r>
        <w:t xml:space="preserve"> </w:t>
      </w:r>
      <w:r>
        <w:t xml:space="preserve">de la organización: identificar activos que soportan procesos críticos y los riesgos asociados.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recursos e inversiones</w:t>
      </w:r>
      <w:r>
        <w:t xml:space="preserve"> </w:t>
      </w:r>
      <w:r>
        <w:t xml:space="preserve">hacia medidas de protección de procesos y activos.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Detectar tempranamente</w:t>
      </w:r>
      <w:r>
        <w:t xml:space="preserve"> </w:t>
      </w:r>
      <w:r>
        <w:t xml:space="preserve">eventos de seguridad.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Responder</w:t>
      </w:r>
      <w:r>
        <w:t xml:space="preserve"> </w:t>
      </w:r>
      <w:r>
        <w:t xml:space="preserve">reduciendo el impacto de incidentes.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Recuperarse</w:t>
      </w:r>
      <w:r>
        <w:t xml:space="preserve"> </w:t>
      </w:r>
      <w:r>
        <w:t xml:space="preserve">con resiliencia y oportunidad.</w:t>
      </w:r>
    </w:p>
    <w:bookmarkEnd w:id="14"/>
    <w:bookmarkStart w:id="15" w:name="relación-con-el-bcu"/>
    <w:p>
      <w:pPr>
        <w:pStyle w:val="Heading2"/>
      </w:pPr>
      <w:r>
        <w:t xml:space="preserve">5. Relación con el BCU</w:t>
      </w:r>
    </w:p>
    <w:p>
      <w:pPr>
        <w:pStyle w:val="FirstParagraph"/>
      </w:pPr>
      <w:r>
        <w:t xml:space="preserve">El BCU exige a las entidades supervisadas reportar su</w:t>
      </w:r>
      <w:r>
        <w:t xml:space="preserve"> </w:t>
      </w:r>
      <w:r>
        <w:rPr>
          <w:b/>
          <w:bCs/>
        </w:rPr>
        <w:t xml:space="preserve">nivel de madurez y cumplimiento del MCU 5.0</w:t>
      </w:r>
      <w:r>
        <w:t xml:space="preserve"> </w:t>
      </w:r>
      <w:r>
        <w:t xml:space="preserve">con frecuencia</w:t>
      </w:r>
      <w:r>
        <w:t xml:space="preserve"> </w:t>
      </w:r>
      <w:r>
        <w:rPr>
          <w:b/>
          <w:bCs/>
        </w:rPr>
        <w:t xml:space="preserve">trimestral</w:t>
      </w:r>
      <w:r>
        <w:t xml:space="preserve"> </w:t>
      </w:r>
      <w:r>
        <w:t xml:space="preserve">(Comunicación 2026/098), mediante el Portal IDI con el</w:t>
      </w:r>
      <w:r>
        <w:t xml:space="preserve"> </w:t>
      </w:r>
      <w:r>
        <w:rPr>
          <w:b/>
          <w:bCs/>
        </w:rPr>
        <w:t xml:space="preserve">Tipo de dato 957 – Cumplimiento MCU 5.0 – Nivel de Madurez</w:t>
      </w:r>
      <w:r>
        <w:t xml:space="preserve">, plazo de</w:t>
      </w:r>
      <w:r>
        <w:t xml:space="preserve"> </w:t>
      </w:r>
      <w:r>
        <w:rPr>
          <w:b/>
          <w:bCs/>
        </w:rPr>
        <w:t xml:space="preserve">7 días hábiles</w:t>
      </w:r>
      <w:r>
        <w:t xml:space="preserve"> </w:t>
      </w:r>
      <w:r>
        <w:t xml:space="preserve">del mes siguiente al cierre del trimestre (ver</w:t>
      </w:r>
      <w:r>
        <w:t xml:space="preserve"> </w:t>
      </w:r>
      <w:r>
        <w:rPr>
          <w:rStyle w:val="VerbatimChar"/>
        </w:rPr>
        <w:t xml:space="preserve">bcu/01-requerimientos-minimos-bcu.md</w:t>
      </w:r>
      <w:r>
        <w:t xml:space="preserve">).</w:t>
      </w:r>
    </w:p>
    <w:bookmarkEnd w:id="15"/>
    <w:bookmarkStart w:id="16" w:name="X54a7b5838b50c2832f10cf46777d78975c7f9d9"/>
    <w:p>
      <w:pPr>
        <w:pStyle w:val="Heading2"/>
      </w:pPr>
      <w:r>
        <w:t xml:space="preserve">6. Niveles de madurez (orientativo para el reporte)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Inicial /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Repetible / ad hoc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Gestionado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Optimizado / medido</w:t>
            </w:r>
          </w:p>
        </w:tc>
      </w:tr>
    </w:tbl>
    <w:bookmarkEnd w:id="16"/>
    <w:bookmarkStart w:id="17" w:name="X26fdc35fb6239fd6bb1f4c54c633e375a21d69d"/>
    <w:p>
      <w:pPr>
        <w:pStyle w:val="Heading2"/>
      </w:pPr>
      <w:r>
        <w:t xml:space="preserve">7. Mapeo con marcos internacionales (orientación)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t xml:space="preserve">NIST CSF 2.0 (aprox.)</w:t>
            </w:r>
          </w:p>
        </w:tc>
        <w:tc>
          <w:tcPr/>
          <w:p>
            <w:pPr>
              <w:pStyle w:val="Compact"/>
            </w:pPr>
            <w:r>
              <w:t xml:space="preserve">ISO 27001 (aprox.)</w:t>
            </w:r>
          </w:p>
        </w:tc>
        <w:tc>
          <w:tcPr/>
          <w:p>
            <w:pPr>
              <w:pStyle w:val="Compact"/>
            </w:pPr>
            <w:r>
              <w:t xml:space="preserve">COBIT 2019 (aprox.)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Gobernar (GV)</w:t>
            </w:r>
          </w:p>
        </w:tc>
        <w:tc>
          <w:tcPr/>
          <w:p>
            <w:pPr>
              <w:pStyle w:val="Compact"/>
            </w:pPr>
            <w:r>
              <w:t xml:space="preserve">Governance (GV)</w:t>
            </w:r>
          </w:p>
        </w:tc>
        <w:tc>
          <w:tcPr/>
          <w:p>
            <w:pPr>
              <w:pStyle w:val="Compact"/>
            </w:pPr>
            <w:r>
              <w:t xml:space="preserve">Cláusula 5 (Liderazgo)</w:t>
            </w:r>
          </w:p>
        </w:tc>
        <w:tc>
          <w:tcPr/>
          <w:p>
            <w:pPr>
              <w:pStyle w:val="Compact"/>
            </w:pPr>
            <w:r>
              <w:t xml:space="preserve">EDM, APO01, APO13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Identificar (ID)</w:t>
            </w:r>
          </w:p>
        </w:tc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Cláusula 6.1; A.5.9; A.8.8</w:t>
            </w:r>
          </w:p>
        </w:tc>
        <w:tc>
          <w:tcPr/>
          <w:p>
            <w:pPr>
              <w:pStyle w:val="Compact"/>
            </w:pPr>
            <w:r>
              <w:t xml:space="preserve">APO03, APO12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Proteger (PR)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A.5.15-A.5.19; A.8.x</w:t>
            </w:r>
          </w:p>
        </w:tc>
        <w:tc>
          <w:tcPr/>
          <w:p>
            <w:pPr>
              <w:pStyle w:val="Compact"/>
            </w:pPr>
            <w:r>
              <w:t xml:space="preserve">DSS05, APO13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Detectar (DE)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A.8.15, A.8.16</w:t>
            </w:r>
          </w:p>
        </w:tc>
        <w:tc>
          <w:tcPr/>
          <w:p>
            <w:pPr>
              <w:pStyle w:val="Compact"/>
            </w:pPr>
            <w:r>
              <w:t xml:space="preserve">DSS04, DSS05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Responder (RS)</w:t>
            </w:r>
          </w:p>
        </w:tc>
        <w:tc>
          <w:tcPr/>
          <w:p>
            <w:pPr>
              <w:pStyle w:val="Compact"/>
            </w:pPr>
            <w:r>
              <w:t xml:space="preserve">Respond</w:t>
            </w:r>
          </w:p>
        </w:tc>
        <w:tc>
          <w:tcPr/>
          <w:p>
            <w:pPr>
              <w:pStyle w:val="Compact"/>
            </w:pPr>
            <w:r>
              <w:t xml:space="preserve">A.5.24-A.5.28</w:t>
            </w:r>
          </w:p>
        </w:tc>
        <w:tc>
          <w:tcPr/>
          <w:p>
            <w:pPr>
              <w:pStyle w:val="Compact"/>
            </w:pPr>
            <w:r>
              <w:t xml:space="preserve">DSS02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Recuperar (RC)</w:t>
            </w:r>
          </w:p>
        </w:tc>
        <w:tc>
          <w:tcPr/>
          <w:p>
            <w:pPr>
              <w:pStyle w:val="Compact"/>
            </w:pPr>
            <w: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A.5.29, A.8.13</w:t>
            </w:r>
          </w:p>
        </w:tc>
        <w:tc>
          <w:tcPr/>
          <w:p>
            <w:pPr>
              <w:pStyle w:val="Compact"/>
            </w:pPr>
            <w:r>
              <w:t xml:space="preserve">DSS04</w:t>
            </w:r>
          </w:p>
        </w:tc>
      </w:tr>
    </w:tbl>
    <w:bookmarkEnd w:id="17"/>
    <w:bookmarkStart w:id="18" w:name="enlaces-oficiales"/>
    <w:p>
      <w:pPr>
        <w:pStyle w:val="Heading2"/>
      </w:pPr>
      <w:r>
        <w:t xml:space="preserve">8. Enlaces oficiales</w:t>
      </w:r>
    </w:p>
    <w:p>
      <w:pPr>
        <w:pStyle w:val="Compact"/>
        <w:numPr>
          <w:ilvl w:val="0"/>
          <w:numId w:val="1002"/>
        </w:numPr>
      </w:pPr>
      <w:r>
        <w:t xml:space="preserve">Marco MCU 5.0 (AGESIC): https://www.gub.uy/agencia-gobierno-electronico-sociedad-informacion-conocimiento/comunicacion/publicaciones/marco-ciberseguridad-50</w:t>
      </w:r>
    </w:p>
    <w:p>
      <w:pPr>
        <w:pStyle w:val="Compact"/>
        <w:numPr>
          <w:ilvl w:val="0"/>
          <w:numId w:val="1002"/>
        </w:numPr>
      </w:pPr>
      <w:r>
        <w:t xml:space="preserve">Guía de Implementación: https://www.gub.uy/agencia-gobierno-electronico-sociedad-informacion-conocimiento/comunicacion/publicaciones/guia-implementacion-del-marco-ciberseguridad-50</w:t>
      </w:r>
    </w:p>
    <w:p>
      <w:pPr>
        <w:pStyle w:val="Compact"/>
        <w:numPr>
          <w:ilvl w:val="0"/>
          <w:numId w:val="1002"/>
        </w:numPr>
      </w:pPr>
      <w:r>
        <w:t xml:space="preserve">Glosario del MCU 5.0: disponible en el sitio de AGESIC.</w:t>
      </w:r>
    </w:p>
    <w:p>
      <w:pPr>
        <w:pStyle w:val="Compact"/>
        <w:numPr>
          <w:ilvl w:val="0"/>
          <w:numId w:val="1002"/>
        </w:numPr>
      </w:pPr>
      <w:r>
        <w:t xml:space="preserve">Planillas de perfiles comunitarios (Básico/Estándar/Avanzado): descargables desde AGESIC (.xlsx).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2026-09-07T12:28:45Z</dcterms:created>
  <dcterms:modified xsi:type="dcterms:W3CDTF">2026-09-07T12:28:45Z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