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bec2377b66cffe2059c3f3e754f592cd2ef2d0"/>
    <w:p>
      <w:pPr>
        <w:pStyle w:val="Heading1"/>
      </w:pPr>
      <w:r>
        <w:t xml:space="preserve">Excel de apoyo al MCU 5.0 — Perfil</w:t>
      </w:r>
      <w:r>
        <w:t xml:space="preserve"> </w:t>
      </w:r>
      <w:r>
        <w:rPr>
          <w:b/>
          <w:bCs/>
        </w:rPr>
        <w:t xml:space="preserve">Avanzado</w:t>
      </w:r>
      <w:r>
        <w:t xml:space="preserve"> </w:t>
      </w:r>
      <w:r>
        <w:t xml:space="preserve">(obligatorio)</w:t>
      </w:r>
    </w:p>
    <w:p>
      <w:pPr>
        <w:pStyle w:val="FirstParagraph"/>
      </w:pPr>
      <w:r>
        <w:t xml:space="preserve">Estos archivos se descargan/completan conforme al</w:t>
      </w:r>
      <w:r>
        <w:t xml:space="preserve"> </w:t>
      </w:r>
      <w:r>
        <w:rPr>
          <w:b/>
          <w:bCs/>
        </w:rPr>
        <w:t xml:space="preserve">Marco de Ciberseguridad 5.0 (AGESIC)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Guía de Implementación</w:t>
      </w:r>
      <w:r>
        <w:t xml:space="preserve">. El</w:t>
      </w:r>
      <w:r>
        <w:t xml:space="preserve"> </w:t>
      </w:r>
      <w:r>
        <w:rPr>
          <w:b/>
          <w:bCs/>
        </w:rPr>
        <w:t xml:space="preserve">perfil objetivo del curso es AVANZADO</w:t>
      </w:r>
      <w:r>
        <w:t xml:space="preserve"> </w:t>
      </w:r>
      <w:r>
        <w:t xml:space="preserve">(el más exigente de los tres perfiles comunitarios: Básico, Estándar, Avanzado).</w:t>
      </w:r>
    </w:p>
    <w:bookmarkStart w:id="9" w:name="archivos"/>
    <w:p>
      <w:pPr>
        <w:pStyle w:val="Heading2"/>
      </w:pPr>
      <w:r>
        <w:t xml:space="preserve">Archivos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Quién lo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01-controles-mcu5-perfil-avanzado.xlsx</w:t>
            </w:r>
          </w:p>
        </w:tc>
        <w:tc>
          <w:tcPr/>
          <w:p>
            <w:pPr>
              <w:pStyle w:val="Compact"/>
            </w:pPr>
            <w:r>
              <w:t xml:space="preserve">Registro de controles por función (Gobernar/Identificar/Proteger/Detectar/Responder/Recuperar) con</w:t>
            </w:r>
            <w:r>
              <w:t xml:space="preserve"> </w:t>
            </w:r>
            <w:r>
              <w:rPr>
                <w:b/>
                <w:bCs/>
              </w:rPr>
              <w:t xml:space="preserve">evidencia y forma de demostración</w:t>
            </w:r>
          </w:p>
        </w:tc>
        <w:tc>
          <w:tcPr/>
          <w:p>
            <w:pPr>
              <w:pStyle w:val="Compact"/>
            </w:pPr>
            <w:r>
              <w:t xml:space="preserve">Blue Team, hoja por hoja a medida que implementa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02-registro-activos-mcu5.xlsx</w:t>
            </w:r>
          </w:p>
        </w:tc>
        <w:tc>
          <w:tcPr/>
          <w:p>
            <w:pPr>
              <w:pStyle w:val="Compact"/>
            </w:pPr>
            <w:r>
              <w:t xml:space="preserve">Inventario de activos alineado al MCU 5.0 (ID-01)</w:t>
            </w:r>
          </w:p>
        </w:tc>
        <w:tc>
          <w:tcPr/>
          <w:p>
            <w:pPr>
              <w:pStyle w:val="Compact"/>
            </w:pPr>
            <w:r>
              <w:t xml:space="preserve">Blue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03-matriz-raci-mcu5.xlsx</w:t>
            </w:r>
          </w:p>
        </w:tc>
        <w:tc>
          <w:tcPr/>
          <w:p>
            <w:pPr>
              <w:pStyle w:val="Compact"/>
            </w:pPr>
            <w:r>
              <w:t xml:space="preserve">Matriz de responsabilidades por proceso de seguridad</w:t>
            </w:r>
          </w:p>
        </w:tc>
        <w:tc>
          <w:tcPr/>
          <w:p>
            <w:pPr>
              <w:pStyle w:val="Compact"/>
            </w:pPr>
            <w:r>
              <w:t xml:space="preserve">Blue Team (con el dueño/RSI)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04-bitacora-planilla.xlsx</w:t>
            </w:r>
          </w:p>
        </w:tc>
        <w:tc>
          <w:tcPr/>
          <w:p>
            <w:pPr>
              <w:pStyle w:val="Compact"/>
            </w:pPr>
            <w:r>
              <w:t xml:space="preserve">Bitácora de trabajo diario (Blue y Red Team)</w:t>
            </w:r>
          </w:p>
        </w:tc>
        <w:tc>
          <w:tcPr/>
          <w:p>
            <w:pPr>
              <w:pStyle w:val="Compact"/>
            </w:pPr>
            <w:r>
              <w:t xml:space="preserve">Ambos equipos</w:t>
            </w:r>
          </w:p>
        </w:tc>
      </w:tr>
    </w:tbl>
    <w:bookmarkEnd w:id="9"/>
    <w:bookmarkStart w:id="10" w:name="reglas-de-uso"/>
    <w:p>
      <w:pPr>
        <w:pStyle w:val="Heading2"/>
      </w:pPr>
      <w:r>
        <w:t xml:space="preserve">Reglas de uso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AVANZADO</w:t>
      </w:r>
      <w:r>
        <w:t xml:space="preserve"> </w:t>
      </w:r>
      <w:r>
        <w:t xml:space="preserve">obligatorio: el registro de controles refleja el alcance avanzado (más controles y de mayor madurez).</w:t>
      </w:r>
    </w:p>
    <w:p>
      <w:pPr>
        <w:pStyle w:val="Compact"/>
        <w:numPr>
          <w:ilvl w:val="0"/>
          <w:numId w:val="1001"/>
        </w:numPr>
      </w:pPr>
      <w:r>
        <w:t xml:space="preserve">Cada control debe completar: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Aplica (Sí/No/N.A.)</w:t>
      </w:r>
      <w:r>
        <w:t xml:space="preserve">: marcar lo que no corresponde con justificación (por ejemplo, controles físicos no aplicarán a una solución virtual; se justifica y se indica</w:t>
      </w:r>
      <w:r>
        <w:t xml:space="preserve"> </w:t>
      </w:r>
      <w:r>
        <w:t xml:space="preserve">“N.A. justificado”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Evidencia</w:t>
      </w:r>
      <w:r>
        <w:t xml:space="preserve">: archivo/captura/registro concreto en</w:t>
      </w:r>
      <w:r>
        <w:t xml:space="preserve"> </w:t>
      </w:r>
      <w:r>
        <w:rPr>
          <w:rStyle w:val="VerbatimChar"/>
        </w:rPr>
        <w:t xml:space="preserve">docs/evidencias/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Cómo se demuestra</w:t>
      </w:r>
      <w:r>
        <w:t xml:space="preserve">: el procedimiento de demostración en auditoría.</w:t>
      </w:r>
    </w:p>
    <w:p>
      <w:pPr>
        <w:pStyle w:val="Compact"/>
        <w:numPr>
          <w:ilvl w:val="0"/>
          <w:numId w:val="1001"/>
        </w:numPr>
      </w:pPr>
      <w:r>
        <w:t xml:space="preserve">Los controles marcados</w:t>
      </w:r>
      <w:r>
        <w:t xml:space="preserve"> </w:t>
      </w:r>
      <w:r>
        <w:rPr>
          <w:b/>
          <w:bCs/>
        </w:rPr>
        <w:t xml:space="preserve">N.A.</w:t>
      </w:r>
      <w:r>
        <w:t xml:space="preserve"> </w:t>
      </w:r>
      <w:r>
        <w:t xml:space="preserve">deben estar</w:t>
      </w:r>
      <w:r>
        <w:t xml:space="preserve"> </w:t>
      </w:r>
      <w:r>
        <w:rPr>
          <w:b/>
          <w:bCs/>
        </w:rPr>
        <w:t xml:space="preserve">justificados y aceptados</w:t>
      </w:r>
      <w:r>
        <w:t xml:space="preserve"> </w:t>
      </w:r>
      <w:r>
        <w:t xml:space="preserve">(no se eliminan silenciosamente).</w:t>
      </w:r>
    </w:p>
    <w:p>
      <w:pPr>
        <w:pStyle w:val="Compact"/>
        <w:numPr>
          <w:ilvl w:val="0"/>
          <w:numId w:val="1001"/>
        </w:numPr>
      </w:pPr>
      <w:r>
        <w:t xml:space="preserve">Entregar el archivo en cada</w:t>
      </w:r>
      <w:r>
        <w:t xml:space="preserve"> </w:t>
      </w:r>
      <w:r>
        <w:rPr>
          <w:b/>
          <w:bCs/>
        </w:rPr>
        <w:t xml:space="preserve">pre-entrega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versión final congelada</w:t>
      </w:r>
      <w:r>
        <w:t xml:space="preserve"> </w:t>
      </w:r>
      <w:r>
        <w:t xml:space="preserve">en la entrega.</w:t>
      </w:r>
    </w:p>
    <w:bookmarkEnd w:id="10"/>
    <w:bookmarkStart w:id="11" w:name="X9ec52e48cd1e7c6670b2fa35ef20299999c650b"/>
    <w:p>
      <w:pPr>
        <w:pStyle w:val="Heading2"/>
      </w:pPr>
      <w:r>
        <w:t xml:space="preserve">Relación con los formatos oficiales de AGESIC</w:t>
      </w:r>
    </w:p>
    <w:p>
      <w:pPr>
        <w:pStyle w:val="Compact"/>
        <w:numPr>
          <w:ilvl w:val="0"/>
          <w:numId w:val="1003"/>
        </w:numPr>
      </w:pPr>
      <w:r>
        <w:t xml:space="preserve">Los perfiles comunitarios oficiales (Básico/Estándar/Avanzado) se descargan de AGESIC (planillas XLSX).</w:t>
      </w:r>
    </w:p>
    <w:p>
      <w:pPr>
        <w:pStyle w:val="Compact"/>
        <w:numPr>
          <w:ilvl w:val="0"/>
          <w:numId w:val="1003"/>
        </w:numPr>
      </w:pPr>
      <w:r>
        <w:t xml:space="preserve">Los archivos de esta carpeta son de</w:t>
      </w:r>
      <w:r>
        <w:t xml:space="preserve"> </w:t>
      </w:r>
      <w:r>
        <w:rPr>
          <w:b/>
          <w:bCs/>
        </w:rPr>
        <w:t xml:space="preserve">apoyo del curso</w:t>
      </w:r>
      <w:r>
        <w:t xml:space="preserve"> </w:t>
      </w:r>
      <w:r>
        <w:t xml:space="preserve">y complementan (no reemplazan) las planillas oficiales si un grupo las obtiene.</w:t>
      </w:r>
    </w:p>
    <w:p>
      <w:pPr>
        <w:pStyle w:val="Compact"/>
        <w:numPr>
          <w:ilvl w:val="0"/>
          <w:numId w:val="1003"/>
        </w:numPr>
      </w:pPr>
      <w:r>
        <w:t xml:space="preserve">La Comunicación BCU 2026/098 solicita el</w:t>
      </w:r>
      <w:r>
        <w:t xml:space="preserve"> </w:t>
      </w:r>
      <w:r>
        <w:rPr>
          <w:b/>
          <w:bCs/>
        </w:rPr>
        <w:t xml:space="preserve">Tipo de dato 957 – Cumplimiento MCU 5.0 – Nivel de Madurez</w:t>
      </w:r>
      <w:r>
        <w:t xml:space="preserve"> </w:t>
      </w:r>
      <w:r>
        <w:t xml:space="preserve">trimestral: los datos de estas planillas alimentan ese reporte.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2026-09-07T12:55:15Z</dcterms:created>
  <dcterms:modified xsi:type="dcterms:W3CDTF">2026-09-07T12:55:15Z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