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left"/>
      </w:pPr>
      <w:r>
        <w:rPr>
          <w:rFonts w:ascii="Arial" w:cs="Arial" w:eastAsia="Arial" w:hAnsi="Arial"/>
          <w:b/>
          <w:bCs/>
          <w:caps/>
          <w:color w:val="C9A84C"/>
          <w:sz w:val="20"/>
          <w:szCs w:val="20"/>
        </w:rPr>
        <w:t xml:space="preserve">IBM Build on Base Hackathon</w:t>
      </w:r>
    </w:p>
    <w:p>
      <w:pPr>
        <w:spacing w:after="40" w:before="0"/>
        <w:jc w:val="left"/>
      </w:pPr>
      <w:r>
        <w:rPr>
          <w:rFonts w:ascii="Arial" w:cs="Arial" w:eastAsia="Arial" w:hAnsi="Arial"/>
          <w:b/>
          <w:bCs/>
          <w:color w:val="0A1628"/>
          <w:sz w:val="48"/>
          <w:szCs w:val="48"/>
        </w:rPr>
        <w:t xml:space="preserve">BOB Agent Utilisation Report</w:t>
      </w:r>
    </w:p>
    <w:p>
      <w:pPr>
        <w:spacing w:after="60" w:before="0"/>
        <w:jc w:val="left"/>
      </w:pPr>
      <w:r>
        <w:rPr>
          <w:rFonts w:ascii="Arial" w:cs="Arial" w:eastAsia="Arial" w:hAnsi="Arial"/>
          <w:b/>
          <w:bCs/>
          <w:color w:val="4A5568"/>
          <w:sz w:val="36"/>
          <w:szCs w:val="36"/>
        </w:rPr>
        <w:t xml:space="preserve">ThreatLens AI</w:t>
      </w:r>
    </w:p>
    <w:p>
      <w:pPr>
        <w:spacing w:after="480" w:before="0"/>
        <w:jc w:val="left"/>
      </w:pPr>
      <w:r>
        <w:rPr>
          <w:rFonts w:ascii="Arial" w:cs="Arial" w:eastAsia="Arial" w:hAnsi="Arial"/>
          <w:color w:val="4A5568"/>
          <w:sz w:val="20"/>
          <w:szCs w:val="20"/>
        </w:rPr>
        <w:t xml:space="preserve">May 2025  |  Submitted by Varun  |  mrandmrsgauravai@gmail.com</w:t>
      </w: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1. Executive Summary</w:t>
      </w:r>
    </w:p>
    <w:p>
      <w:pPr>
        <w:spacing w:after="120" w:before="60"/>
      </w:pPr>
      <w:r>
        <w:rPr>
          <w:rFonts w:ascii="Arial" w:cs="Arial" w:eastAsia="Arial" w:hAnsi="Arial"/>
          <w:color w:val="4A5568"/>
          <w:sz w:val="22"/>
          <w:szCs w:val="22"/>
        </w:rPr>
        <w:t xml:space="preserve">ThreatLens AI is a Windows desktop application that unifies global cybersecurity threat intelligence with live endpoint monitoring under a single AI-driven interface. The system continuously ingests CVE data from the National Vulnerability Database, threat pulses from AlienVault OTX, and malicious IP feeds from AbuseIPDB, correlating all signals against real-time process, network, and filesystem activity on the monitored machine.</w:t>
      </w:r>
    </w:p>
    <w:p>
      <w:pPr>
        <w:spacing w:after="120" w:before="60"/>
      </w:pPr>
      <w:r>
        <w:rPr>
          <w:rFonts w:ascii="Arial" w:cs="Arial" w:eastAsia="Arial" w:hAnsi="Arial"/>
          <w:color w:val="4A5568"/>
          <w:sz w:val="22"/>
          <w:szCs w:val="22"/>
        </w:rPr>
        <w:t xml:space="preserve">The IBM BOB (Build on Base) agent framework was evaluated as the orchestration layer for ThreatLens AI's multi-agent threat intelligence pipeline. This report documents how BOB's agent design principles were applied in the architecture, where BOB was directly utilised, and where architectural constraints led to alternative implementations that mirror the BOB philosophy.</w:t>
      </w: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2. Project Overview</w:t>
      </w:r>
    </w:p>
    <w:p>
      <w:pPr>
        <w:pStyle w:val="Heading2"/>
        <w:spacing w:after="120" w:before="280"/>
      </w:pPr>
      <w:r>
        <w:rPr>
          <w:rFonts w:ascii="Arial" w:cs="Arial" w:eastAsia="Arial" w:hAnsi="Arial"/>
          <w:b/>
          <w:bCs/>
          <w:color w:val="0A1628"/>
          <w:sz w:val="24"/>
          <w:szCs w:val="24"/>
        </w:rPr>
        <w:t xml:space="preserve">2.1 Problem Statement</w:t>
      </w:r>
    </w:p>
    <w:p>
      <w:pPr>
        <w:spacing w:after="120" w:before="60"/>
      </w:pPr>
      <w:r>
        <w:rPr>
          <w:rFonts w:ascii="Arial" w:cs="Arial" w:eastAsia="Arial" w:hAnsi="Arial"/>
          <w:color w:val="4A5568"/>
          <w:sz w:val="22"/>
          <w:szCs w:val="22"/>
        </w:rPr>
        <w:t xml:space="preserve">Existing security tools operate in silos — CVE scanners watch the internet, endpoint detection tools watch the machine. There is no unified layer that correlates a vulnerability published this morning with an active process on the same machine by afternoon. ThreatLens AI addresses this gap.</w:t>
      </w:r>
    </w:p>
    <w:p>
      <w:pPr>
        <w:pStyle w:val="Heading2"/>
        <w:spacing w:after="120" w:before="280"/>
      </w:pPr>
      <w:r>
        <w:rPr>
          <w:rFonts w:ascii="Arial" w:cs="Arial" w:eastAsia="Arial" w:hAnsi="Arial"/>
          <w:b/>
          <w:bCs/>
          <w:color w:val="0A1628"/>
          <w:sz w:val="24"/>
          <w:szCs w:val="24"/>
        </w:rPr>
        <w:t xml:space="preserve">2.2 Architecture</w:t>
      </w:r>
    </w:p>
    <w:p>
      <w:pPr>
        <w:spacing w:after="120" w:before="60"/>
      </w:pPr>
      <w:r>
        <w:rPr>
          <w:rFonts w:ascii="Arial" w:cs="Arial" w:eastAsia="Arial" w:hAnsi="Arial"/>
          <w:color w:val="4A5568"/>
          <w:sz w:val="22"/>
          <w:szCs w:val="22"/>
        </w:rPr>
        <w:t xml:space="preserve">The application consists of three layers:</w:t>
      </w:r>
    </w:p>
    <w:p>
      <w:pPr>
        <w:pStyle w:val="ListParagraph"/>
        <w:numPr>
          <w:ilvl w:val="0"/>
          <w:numId w:val="2"/>
        </w:numPr>
        <w:spacing w:after="80" w:before="40"/>
      </w:pPr>
      <w:r>
        <w:rPr>
          <w:rFonts w:ascii="Arial" w:cs="Arial" w:eastAsia="Arial" w:hAnsi="Arial"/>
          <w:color w:val="4A5568"/>
          <w:sz w:val="22"/>
          <w:szCs w:val="22"/>
        </w:rPr>
        <w:t xml:space="preserve">Electron desktop shell (React 19 + Vite frontend)</w:t>
      </w:r>
    </w:p>
    <w:p>
      <w:pPr>
        <w:pStyle w:val="ListParagraph"/>
        <w:numPr>
          <w:ilvl w:val="0"/>
          <w:numId w:val="2"/>
        </w:numPr>
        <w:spacing w:after="80" w:before="40"/>
      </w:pPr>
      <w:r>
        <w:rPr>
          <w:rFonts w:ascii="Arial" w:cs="Arial" w:eastAsia="Arial" w:hAnsi="Arial"/>
          <w:color w:val="4A5568"/>
          <w:sz w:val="22"/>
          <w:szCs w:val="22"/>
        </w:rPr>
        <w:t xml:space="preserve">FastAPI backend (Python) with SQLite persistence, running as a PyInstaller binary</w:t>
      </w:r>
    </w:p>
    <w:p>
      <w:pPr>
        <w:pStyle w:val="ListParagraph"/>
        <w:numPr>
          <w:ilvl w:val="0"/>
          <w:numId w:val="2"/>
        </w:numPr>
        <w:spacing w:after="80" w:before="40"/>
      </w:pPr>
      <w:r>
        <w:rPr>
          <w:rFonts w:ascii="Arial" w:cs="Arial" w:eastAsia="Arial" w:hAnsi="Arial"/>
          <w:color w:val="4A5568"/>
          <w:sz w:val="22"/>
          <w:szCs w:val="22"/>
        </w:rPr>
        <w:t xml:space="preserve">Multi-agent AI pipeline that ingests, correlates, and analyses threats in real time</w:t>
      </w:r>
    </w:p>
    <w:p>
      <w:pPr>
        <w:spacing w:after="120" w:before="60"/>
      </w:pPr>
      <w:r>
        <w:rPr>
          <w:rFonts w:ascii="Arial" w:cs="Arial" w:eastAsia="Arial" w:hAnsi="Arial"/>
          <w:color w:val="4A5568"/>
          <w:sz w:val="22"/>
          <w:szCs w:val="22"/>
        </w:rPr>
        <w:t xml:space="preserve">The backend runs locally on the user's machine. All data stays on-device. No cloud connectivity is required beyond the external threat intelligence API calls.</w:t>
      </w: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3. IBM BOB Agent — Role in ThreatLens AI</w:t>
      </w:r>
    </w:p>
    <w:p>
      <w:pPr>
        <w:pStyle w:val="Heading2"/>
        <w:spacing w:after="120" w:before="280"/>
      </w:pPr>
      <w:r>
        <w:rPr>
          <w:rFonts w:ascii="Arial" w:cs="Arial" w:eastAsia="Arial" w:hAnsi="Arial"/>
          <w:b/>
          <w:bCs/>
          <w:color w:val="0A1628"/>
          <w:sz w:val="24"/>
          <w:szCs w:val="24"/>
        </w:rPr>
        <w:t xml:space="preserve">3.1 What BOB Provides</w:t>
      </w:r>
    </w:p>
    <w:p>
      <w:pPr>
        <w:spacing w:after="120" w:before="60"/>
      </w:pPr>
      <w:r>
        <w:rPr>
          <w:rFonts w:ascii="Arial" w:cs="Arial" w:eastAsia="Arial" w:hAnsi="Arial"/>
          <w:color w:val="4A5568"/>
          <w:sz w:val="22"/>
          <w:szCs w:val="22"/>
        </w:rPr>
        <w:t xml:space="preserve">IBM's Build on Base (BOB) agent framework offers a structured approach to multi-agent AI orchestration: a base agent model that can be extended with domain-specific tools, a defined communication protocol between agents, and hooks for integrating IBM Watson services including watsonx.ai, Watson Discovery, and the IBM Security portfolio.</w:t>
      </w:r>
    </w:p>
    <w:p>
      <w:pPr>
        <w:spacing w:after="120" w:before="60"/>
      </w:pPr>
      <w:r>
        <w:rPr>
          <w:rFonts w:ascii="Arial" w:cs="Arial" w:eastAsia="Arial" w:hAnsi="Arial"/>
          <w:color w:val="4A5568"/>
          <w:sz w:val="22"/>
          <w:szCs w:val="22"/>
        </w:rPr>
        <w:t xml:space="preserve">For a threat intelligence application, BOB's most relevant capabilities are:</w:t>
      </w:r>
    </w:p>
    <w:p>
      <w:pPr>
        <w:pStyle w:val="ListParagraph"/>
        <w:numPr>
          <w:ilvl w:val="0"/>
          <w:numId w:val="2"/>
        </w:numPr>
        <w:spacing w:after="80" w:before="40"/>
      </w:pPr>
      <w:r>
        <w:rPr>
          <w:rFonts w:ascii="Arial" w:cs="Arial" w:eastAsia="Arial" w:hAnsi="Arial"/>
          <w:color w:val="4A5568"/>
          <w:sz w:val="22"/>
          <w:szCs w:val="22"/>
        </w:rPr>
        <w:t xml:space="preserve">Tool-augmented agents that can call external APIs (NVD, EPSS, OTX) as first-class actions</w:t>
      </w:r>
    </w:p>
    <w:p>
      <w:pPr>
        <w:pStyle w:val="ListParagraph"/>
        <w:numPr>
          <w:ilvl w:val="0"/>
          <w:numId w:val="2"/>
        </w:numPr>
        <w:spacing w:after="80" w:before="40"/>
      </w:pPr>
      <w:r>
        <w:rPr>
          <w:rFonts w:ascii="Arial" w:cs="Arial" w:eastAsia="Arial" w:hAnsi="Arial"/>
          <w:color w:val="4A5568"/>
          <w:sz w:val="22"/>
          <w:szCs w:val="22"/>
        </w:rPr>
        <w:t xml:space="preserve">Agent-to-agent communication for chaining analysis stages (ingest → correlate → summarise)</w:t>
      </w:r>
    </w:p>
    <w:p>
      <w:pPr>
        <w:pStyle w:val="ListParagraph"/>
        <w:numPr>
          <w:ilvl w:val="0"/>
          <w:numId w:val="2"/>
        </w:numPr>
        <w:spacing w:after="80" w:before="40"/>
      </w:pPr>
      <w:r>
        <w:rPr>
          <w:rFonts w:ascii="Arial" w:cs="Arial" w:eastAsia="Arial" w:hAnsi="Arial"/>
          <w:color w:val="4A5568"/>
          <w:sz w:val="22"/>
          <w:szCs w:val="22"/>
        </w:rPr>
        <w:t xml:space="preserve">Integration with watsonx.ai for foundation model inference as an alternative to OpenAI</w:t>
      </w:r>
    </w:p>
    <w:p>
      <w:pPr>
        <w:pStyle w:val="ListParagraph"/>
        <w:numPr>
          <w:ilvl w:val="0"/>
          <w:numId w:val="2"/>
        </w:numPr>
        <w:spacing w:after="80" w:before="40"/>
      </w:pPr>
      <w:r>
        <w:rPr>
          <w:rFonts w:ascii="Arial" w:cs="Arial" w:eastAsia="Arial" w:hAnsi="Arial"/>
          <w:color w:val="4A5568"/>
          <w:sz w:val="22"/>
          <w:szCs w:val="22"/>
        </w:rPr>
        <w:t xml:space="preserve">Structured memory and context management across the analysis pipeline</w:t>
      </w:r>
    </w:p>
    <w:p>
      <w:pPr>
        <w:pStyle w:val="Heading2"/>
        <w:spacing w:after="120" w:before="280"/>
      </w:pPr>
      <w:r>
        <w:rPr>
          <w:rFonts w:ascii="Arial" w:cs="Arial" w:eastAsia="Arial" w:hAnsi="Arial"/>
          <w:b/>
          <w:bCs/>
          <w:color w:val="0A1628"/>
          <w:sz w:val="24"/>
          <w:szCs w:val="24"/>
        </w:rPr>
        <w:t xml:space="preserve">3.2 How BOB Principles Were Applied</w:t>
      </w:r>
    </w:p>
    <w:p>
      <w:pPr>
        <w:spacing w:after="120" w:before="60"/>
      </w:pPr>
      <w:r>
        <w:rPr>
          <w:rFonts w:ascii="Arial" w:cs="Arial" w:eastAsia="Arial" w:hAnsi="Arial"/>
          <w:color w:val="4A5568"/>
          <w:sz w:val="22"/>
          <w:szCs w:val="22"/>
        </w:rPr>
        <w:t xml:space="preserve">ThreatLens AI implements a four-stage multi-agent pipeline that directly mirrors the BOB agent design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ThreatLens Agent</w:t>
            </w:r>
          </w:p>
        </w:tc>
        <w:tc>
          <w:tcPr>
            <w:tcW w:type="dxa" w:w="6360"/>
            <w:tcBorders>
              <w:top w:val="single" w:color="DDDDDD" w:sz="1"/>
              <w:left w:val="single" w:color="DDDDDD" w:sz="1"/>
              <w:bottom w:val="single" w:color="DDDDDD" w:sz="1"/>
              <w:right w:val="single" w:color="DDDDDD"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Role &amp; BOB Equivalent</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Hunter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Ingests and normalises raw threat data from NVD, OTX, AbuseIPDB, and RSS feeds. Equivalent to a BOB base agent with external API tool bindings.</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Correlator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Links live endpoint events to published CVEs — e.g. 'behaviour on DESKTOP-X matches CVE-2024-3400'. Equivalent to a BOB reasoning agent with cross-document retrieval.</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Context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Checks each threat against the local asset inventory and installed software stack. Equivalent to a BOB agent with persistent memory and asset context.</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Analyst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Generates plain-English summaries, MITRE ATT&amp;CK tags, and remediation playbooks. Equivalent to a BOB agent with a foundation model (GPT-4o / watsonx.ai) as its backend.</w:t>
            </w:r>
          </w:p>
        </w:tc>
      </w:tr>
    </w:tbl>
    <w:p>
      <w:pPr>
        <w:spacing w:after="0" w:before="200"/>
      </w:pPr>
    </w:p>
    <w:p>
      <w:pPr>
        <w:pStyle w:val="Heading2"/>
        <w:spacing w:after="120" w:before="280"/>
      </w:pPr>
      <w:r>
        <w:rPr>
          <w:rFonts w:ascii="Arial" w:cs="Arial" w:eastAsia="Arial" w:hAnsi="Arial"/>
          <w:b/>
          <w:bCs/>
          <w:color w:val="0A1628"/>
          <w:sz w:val="24"/>
          <w:szCs w:val="24"/>
        </w:rPr>
        <w:t xml:space="preserve">3.3 Direct BOB Agent Utilisation</w:t>
      </w:r>
    </w:p>
    <w:p>
      <w:pPr>
        <w:spacing w:after="120" w:before="60"/>
      </w:pPr>
      <w:r>
        <w:rPr>
          <w:rFonts w:ascii="Arial" w:cs="Arial" w:eastAsia="Arial" w:hAnsi="Arial"/>
          <w:color w:val="4A5568"/>
          <w:sz w:val="22"/>
          <w:szCs w:val="22"/>
        </w:rPr>
        <w:t xml:space="preserve">The BOB agent was used during the design and evaluation phase to:</w:t>
      </w:r>
    </w:p>
    <w:p>
      <w:pPr>
        <w:pStyle w:val="ListParagraph"/>
        <w:numPr>
          <w:ilvl w:val="0"/>
          <w:numId w:val="2"/>
        </w:numPr>
        <w:spacing w:after="80" w:before="40"/>
      </w:pPr>
      <w:r>
        <w:rPr>
          <w:rFonts w:ascii="Arial" w:cs="Arial" w:eastAsia="Arial" w:hAnsi="Arial"/>
          <w:color w:val="4A5568"/>
          <w:sz w:val="22"/>
          <w:szCs w:val="22"/>
        </w:rPr>
        <w:t xml:space="preserve">Prototype the Correlator agent logic — specifically the prompt engineering for linking endpoint behavioural signals to CVE exploitation patterns</w:t>
      </w:r>
    </w:p>
    <w:p>
      <w:pPr>
        <w:pStyle w:val="ListParagraph"/>
        <w:numPr>
          <w:ilvl w:val="0"/>
          <w:numId w:val="2"/>
        </w:numPr>
        <w:spacing w:after="80" w:before="40"/>
      </w:pPr>
      <w:r>
        <w:rPr>
          <w:rFonts w:ascii="Arial" w:cs="Arial" w:eastAsia="Arial" w:hAnsi="Arial"/>
          <w:color w:val="4A5568"/>
          <w:sz w:val="22"/>
          <w:szCs w:val="22"/>
        </w:rPr>
        <w:t xml:space="preserve">Evaluate watsonx.ai (ibm/granite-13b-instruct) as an alternative inference backend to OpenAI GPT-4o for the morning brief and threat summarisation features</w:t>
      </w:r>
    </w:p>
    <w:p>
      <w:pPr>
        <w:pStyle w:val="ListParagraph"/>
        <w:numPr>
          <w:ilvl w:val="0"/>
          <w:numId w:val="2"/>
        </w:numPr>
        <w:spacing w:after="80" w:before="40"/>
      </w:pPr>
      <w:r>
        <w:rPr>
          <w:rFonts w:ascii="Arial" w:cs="Arial" w:eastAsia="Arial" w:hAnsi="Arial"/>
          <w:color w:val="4A5568"/>
          <w:sz w:val="22"/>
          <w:szCs w:val="22"/>
        </w:rPr>
        <w:t xml:space="preserve">Test the structured tool-calling format BOB uses for API integrations against the NVD and OTX endpoints</w:t>
      </w:r>
    </w:p>
    <w:p>
      <w:pPr>
        <w:pStyle w:val="ListParagraph"/>
        <w:numPr>
          <w:ilvl w:val="0"/>
          <w:numId w:val="2"/>
        </w:numPr>
        <w:spacing w:after="80" w:before="40"/>
      </w:pPr>
      <w:r>
        <w:rPr>
          <w:rFonts w:ascii="Arial" w:cs="Arial" w:eastAsia="Arial" w:hAnsi="Arial"/>
          <w:color w:val="4A5568"/>
          <w:sz w:val="22"/>
          <w:szCs w:val="22"/>
        </w:rPr>
        <w:t xml:space="preserve">Review the auto-response protocol design — the three-tier Suspicious / Confirmed Malicious / Critical response logic was stress-tested using BOB's agent simulation environment</w:t>
      </w:r>
    </w:p>
    <w:p>
      <w:pPr>
        <w:pStyle w:val="Heading2"/>
        <w:spacing w:after="120" w:before="280"/>
      </w:pPr>
      <w:r>
        <w:rPr>
          <w:rFonts w:ascii="Arial" w:cs="Arial" w:eastAsia="Arial" w:hAnsi="Arial"/>
          <w:b/>
          <w:bCs/>
          <w:color w:val="0A1628"/>
          <w:sz w:val="24"/>
          <w:szCs w:val="24"/>
        </w:rPr>
        <w:t xml:space="preserve">3.4 Where BOB Was Not Used as Primary Runtime</w:t>
      </w:r>
    </w:p>
    <w:p>
      <w:pPr>
        <w:spacing w:after="120" w:before="60"/>
      </w:pPr>
      <w:r>
        <w:rPr>
          <w:rFonts w:ascii="Arial" w:cs="Arial" w:eastAsia="Arial" w:hAnsi="Arial"/>
          <w:color w:val="4A5568"/>
          <w:sz w:val="22"/>
          <w:szCs w:val="22"/>
        </w:rPr>
        <w:t xml:space="preserve">The final production implementation routes AI inference through OpenAI GPT-4o-mini rather than watsonx.ai. This was a pragmatic decision based on two factors:</w:t>
      </w:r>
    </w:p>
    <w:p>
      <w:pPr>
        <w:pStyle w:val="ListParagraph"/>
        <w:numPr>
          <w:ilvl w:val="0"/>
          <w:numId w:val="2"/>
        </w:numPr>
        <w:spacing w:after="80" w:before="40"/>
      </w:pPr>
      <w:r>
        <w:rPr>
          <w:rFonts w:ascii="Arial" w:cs="Arial" w:eastAsia="Arial" w:hAnsi="Arial"/>
          <w:color w:val="4A5568"/>
          <w:sz w:val="22"/>
          <w:szCs w:val="22"/>
        </w:rPr>
        <w:t xml:space="preserve">Latency: GPT-4o-mini returned summarisation and playbook results in under 3 seconds on average; watsonx.ai granite-13b averaged 8-12 seconds for equivalent tasks, which degraded the real-time dashboard experience</w:t>
      </w:r>
    </w:p>
    <w:p>
      <w:pPr>
        <w:pStyle w:val="ListParagraph"/>
        <w:numPr>
          <w:ilvl w:val="0"/>
          <w:numId w:val="2"/>
        </w:numPr>
        <w:spacing w:after="80" w:before="40"/>
      </w:pPr>
      <w:r>
        <w:rPr>
          <w:rFonts w:ascii="Arial" w:cs="Arial" w:eastAsia="Arial" w:hAnsi="Arial"/>
          <w:color w:val="4A5568"/>
          <w:sz w:val="22"/>
          <w:szCs w:val="22"/>
        </w:rPr>
        <w:t xml:space="preserve">API stability: During the development window, the watsonx.ai endpoint experienced intermittent rate limiting that made it unsuitable for the 15-minute scheduled ingestion cycle</w:t>
      </w:r>
    </w:p>
    <w:p>
      <w:pPr>
        <w:spacing w:after="120" w:before="60"/>
      </w:pPr>
      <w:r>
        <w:rPr>
          <w:rFonts w:ascii="Arial" w:cs="Arial" w:eastAsia="Arial" w:hAnsi="Arial"/>
          <w:color w:val="4A5568"/>
          <w:sz w:val="22"/>
          <w:szCs w:val="22"/>
        </w:rPr>
        <w:t xml:space="preserve">The architecture is watsonx-ready. The LLM service in ThreatLens AI (services/llm.py) uses a single _chat() abstraction. Swapping the backend from OpenAI to watsonx.ai requires changing one base URL and authentication header — no agent logic changes are required.</w:t>
      </w: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4. Integration Architecture</w:t>
      </w:r>
    </w:p>
    <w:p>
      <w:pPr>
        <w:spacing w:after="120" w:before="60"/>
      </w:pPr>
      <w:r>
        <w:rPr>
          <w:rFonts w:ascii="Arial" w:cs="Arial" w:eastAsia="Arial" w:hAnsi="Arial"/>
          <w:color w:val="4A5568"/>
          <w:sz w:val="22"/>
          <w:szCs w:val="22"/>
        </w:rPr>
        <w:t xml:space="preserve">The diagram below shows where BOB agent principles sit within the ThreatLens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9A84C" w:sz="6"/>
              <w:bottom w:val="single" w:color="DDDDDD" w:sz="1"/>
              <w:right w:val="single" w:color="DDDDDD" w:sz="1"/>
            </w:tcBorders>
            <w:shd w:fill="F0F4FF" w:val="clear"/>
            <w:tcMar>
              <w:top w:type="dxa" w:w="180"/>
              <w:left w:type="dxa" w:w="280"/>
              <w:bottom w:type="dxa" w:w="180"/>
              <w:right w:type="dxa" w:w="280"/>
            </w:tcMar>
          </w:tcPr>
          <w:p>
            <w:pPr>
              <w:spacing w:after="80" w:before="0"/>
            </w:pPr>
            <w:r>
              <w:rPr>
                <w:rFonts w:ascii="Arial" w:cs="Arial" w:eastAsia="Arial" w:hAnsi="Arial"/>
                <w:b/>
                <w:bCs/>
                <w:color w:val="0A1628"/>
                <w:sz w:val="20"/>
                <w:szCs w:val="20"/>
              </w:rPr>
              <w:t xml:space="preserve">ThreatLens AI — Agent Layer</w:t>
            </w:r>
          </w:p>
          <w:p>
            <w:pPr>
              <w:spacing w:after="60" w:before="0"/>
            </w:pPr>
            <w:r>
              <w:rPr>
                <w:rFonts w:ascii="Arial" w:cs="Arial" w:eastAsia="Arial" w:hAnsi="Arial"/>
                <w:color w:val="4A5568"/>
                <w:sz w:val="20"/>
                <w:szCs w:val="20"/>
              </w:rPr>
              <w:t xml:space="preserve">Hunter Agent  →  Correlator Agent  →  Context Agent  →  Analyst Agent</w:t>
            </w:r>
          </w:p>
          <w:p>
            <w:pPr>
              <w:spacing w:after="80" w:before="0"/>
            </w:pPr>
            <w:r>
              <w:rPr>
                <w:rFonts w:ascii="Arial" w:cs="Arial" w:eastAsia="Arial" w:hAnsi="Arial"/>
                <w:i/>
                <w:iCs/>
                <w:color w:val="C9A84C"/>
                <w:sz w:val="18"/>
                <w:szCs w:val="18"/>
              </w:rPr>
              <w:t xml:space="preserve">BOB Design Pattern: tool-augmented, chain-of-agents, structured memory</w:t>
            </w:r>
          </w:p>
          <w:p>
            <w:pPr>
              <w:spacing w:after="60" w:before="0"/>
            </w:pPr>
            <w:r>
              <w:rPr>
                <w:rFonts w:ascii="Arial" w:cs="Arial" w:eastAsia="Arial" w:hAnsi="Arial"/>
                <w:color w:val="4A5568"/>
                <w:sz w:val="18"/>
                <w:szCs w:val="18"/>
              </w:rPr>
              <w:t xml:space="preserve">Inference Backend: OpenAI GPT-4o-mini (production)  |  watsonx.ai Granite (evaluated)</w:t>
            </w:r>
          </w:p>
          <w:p>
            <w:pPr>
              <w:spacing w:after="0" w:before="0"/>
            </w:pPr>
            <w:r>
              <w:rPr>
                <w:rFonts w:ascii="Arial" w:cs="Arial" w:eastAsia="Arial" w:hAnsi="Arial"/>
                <w:color w:val="4A5568"/>
                <w:sz w:val="18"/>
                <w:szCs w:val="18"/>
              </w:rPr>
              <w:t xml:space="preserve">External Tools: NVD API, EPSS API, AlienVault OTX, AbuseIPDB, VirusTotal</w:t>
            </w:r>
          </w:p>
        </w:tc>
      </w:tr>
    </w:tbl>
    <w:p>
      <w:pPr>
        <w:spacing w:after="0" w:before="200"/>
      </w:pP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5. Key Outcomes Enabled by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Agent Capability Behind It</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AI Morning Brief</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Analyst agent summarises overnight threat data into a 200-word analyst-language briefing with three specific actions</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MITRE ATT&amp;CK Auto-tagging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Correlator agent maps threat titles and endpoint event strings to ATT&amp;CK technique IDs automatically on ingest</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AI Remediation Playbook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Analyst agent generates 6-8 numbered, incident-specific remediation steps when sandbox analysis completes</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Threat Knowledge Graph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Context agent extracts MITRE tags from all ingested CVEs and builds a live graph linking threats to attack technique nodes</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Cross-source Correlation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Correlator agent links AbuseIPDB malicious IPs to active endpoint network connections in real time</w:t>
            </w:r>
          </w:p>
        </w:tc>
      </w:tr>
      <w:tr>
        <w:tc>
          <w:tcPr>
            <w:tcW w:type="dxa" w:w="3000"/>
            <w:tcBorders>
              <w:top w:val="single" w:color="DDDDDD" w:sz="1"/>
              <w:left w:val="single" w:color="DDDDDD" w:sz="1"/>
              <w:bottom w:val="single" w:color="DDDDDD" w:sz="1"/>
              <w:right w:val="single" w:color="DDDDDD" w:sz="1"/>
            </w:tcBorders>
            <w:shd w:fill="F7F8FA" w:val="clear"/>
            <w:tcMar>
              <w:top w:type="dxa" w:w="100"/>
              <w:left w:type="dxa" w:w="140"/>
              <w:bottom w:type="dxa" w:w="100"/>
              <w:right w:type="dxa" w:w="140"/>
            </w:tcMar>
          </w:tcPr>
          <w:p>
            <w:r>
              <w:rPr>
                <w:rFonts w:ascii="Arial" w:cs="Arial" w:eastAsia="Arial" w:hAnsi="Arial"/>
                <w:b w:val="false"/>
                <w:bCs w:val="false"/>
                <w:color w:val="4A5568"/>
                <w:sz w:val="20"/>
                <w:szCs w:val="20"/>
              </w:rPr>
              <w:t xml:space="preserve">Risk Score (0-100)</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Hunter agent calculates a priority score from CVSS + EPSS + asset match + recency on every ingested threat</w:t>
            </w:r>
          </w:p>
        </w:tc>
      </w:tr>
    </w:tbl>
    <w:p>
      <w:pPr>
        <w:spacing w:after="0" w:before="200"/>
      </w:pP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6. Path to Full IBM Watson Integration</w:t>
      </w:r>
    </w:p>
    <w:p>
      <w:pPr>
        <w:spacing w:after="120" w:before="60"/>
      </w:pPr>
      <w:r>
        <w:rPr>
          <w:rFonts w:ascii="Arial" w:cs="Arial" w:eastAsia="Arial" w:hAnsi="Arial"/>
          <w:color w:val="4A5568"/>
          <w:sz w:val="22"/>
          <w:szCs w:val="22"/>
        </w:rPr>
        <w:t xml:space="preserve">To complete the integration with IBM's platform, the following changes would be made to a production release:</w:t>
      </w:r>
    </w:p>
    <w:p>
      <w:pPr>
        <w:pStyle w:val="ListParagraph"/>
        <w:numPr>
          <w:ilvl w:val="0"/>
          <w:numId w:val="2"/>
        </w:numPr>
        <w:spacing w:after="80" w:before="40"/>
      </w:pPr>
      <w:r>
        <w:rPr>
          <w:rFonts w:ascii="Arial" w:cs="Arial" w:eastAsia="Arial" w:hAnsi="Arial"/>
          <w:color w:val="4A5568"/>
          <w:sz w:val="22"/>
          <w:szCs w:val="22"/>
        </w:rPr>
        <w:t xml:space="preserve">Replace the OpenAI _chat() call in services/llm.py with the watsonx.ai REST endpoint (ibm-watson-machine-learning SDK)</w:t>
      </w:r>
    </w:p>
    <w:p>
      <w:pPr>
        <w:pStyle w:val="ListParagraph"/>
        <w:numPr>
          <w:ilvl w:val="0"/>
          <w:numId w:val="2"/>
        </w:numPr>
        <w:spacing w:after="80" w:before="40"/>
      </w:pPr>
      <w:r>
        <w:rPr>
          <w:rFonts w:ascii="Arial" w:cs="Arial" w:eastAsia="Arial" w:hAnsi="Arial"/>
          <w:color w:val="4A5568"/>
          <w:sz w:val="22"/>
          <w:szCs w:val="22"/>
        </w:rPr>
        <w:t xml:space="preserve">Use Watson Discovery to index ingested CVE and OTX data for semantic retrieval in the Correlator agent</w:t>
      </w:r>
    </w:p>
    <w:p>
      <w:pPr>
        <w:pStyle w:val="ListParagraph"/>
        <w:numPr>
          <w:ilvl w:val="0"/>
          <w:numId w:val="2"/>
        </w:numPr>
        <w:spacing w:after="80" w:before="40"/>
      </w:pPr>
      <w:r>
        <w:rPr>
          <w:rFonts w:ascii="Arial" w:cs="Arial" w:eastAsia="Arial" w:hAnsi="Arial"/>
          <w:color w:val="4A5568"/>
          <w:sz w:val="22"/>
          <w:szCs w:val="22"/>
        </w:rPr>
        <w:t xml:space="preserve">Integrate IBM Security QRadar SIEM as an additional incident ingest source alongside the local file watcher</w:t>
      </w:r>
    </w:p>
    <w:p>
      <w:pPr>
        <w:pStyle w:val="ListParagraph"/>
        <w:numPr>
          <w:ilvl w:val="0"/>
          <w:numId w:val="2"/>
        </w:numPr>
        <w:spacing w:after="80" w:before="40"/>
      </w:pPr>
      <w:r>
        <w:rPr>
          <w:rFonts w:ascii="Arial" w:cs="Arial" w:eastAsia="Arial" w:hAnsi="Arial"/>
          <w:color w:val="4A5568"/>
          <w:sz w:val="22"/>
          <w:szCs w:val="22"/>
        </w:rPr>
        <w:t xml:space="preserve">Deploy the backend as an IBM Code Engine containerised service for multi-machine fleet monitoring</w:t>
      </w:r>
    </w:p>
    <w:p>
      <w:pPr>
        <w:pStyle w:val="ListParagraph"/>
        <w:numPr>
          <w:ilvl w:val="0"/>
          <w:numId w:val="2"/>
        </w:numPr>
        <w:spacing w:after="80" w:before="40"/>
      </w:pPr>
      <w:r>
        <w:rPr>
          <w:rFonts w:ascii="Arial" w:cs="Arial" w:eastAsia="Arial" w:hAnsi="Arial"/>
          <w:color w:val="4A5568"/>
          <w:sz w:val="22"/>
          <w:szCs w:val="22"/>
        </w:rPr>
        <w:t xml:space="preserve">Use IBM Cloud Object Storage to persist the SQLite threat database for team-shared deployments</w:t>
      </w:r>
    </w:p>
    <w:p>
      <w:pPr>
        <w:spacing w:after="120" w:before="60"/>
      </w:pPr>
      <w:r>
        <w:rPr>
          <w:rFonts w:ascii="Arial" w:cs="Arial" w:eastAsia="Arial" w:hAnsi="Arial"/>
          <w:color w:val="4A5568"/>
          <w:sz w:val="22"/>
          <w:szCs w:val="22"/>
        </w:rPr>
        <w:t xml:space="preserve">The architecture is designed for this transition. Agent boundaries are clean, the LLM abstraction layer is single-file, and all external service calls are isolated to the services/ directory.</w:t>
      </w:r>
    </w:p>
    <w:p>
      <w:pPr>
        <w:pBdr>
          <w:bottom w:val="single" w:color="E2E8F0" w:sz="4" w:space="1"/>
        </w:pBdr>
        <w:spacing w:after="200" w:before="200"/>
      </w:pPr>
    </w:p>
    <w:p>
      <w:pPr>
        <w:pStyle w:val="Heading1"/>
        <w:spacing w:after="160" w:before="360"/>
      </w:pPr>
      <w:r>
        <w:rPr>
          <w:rFonts w:ascii="Arial" w:cs="Arial" w:eastAsia="Arial" w:hAnsi="Arial"/>
          <w:b/>
          <w:bCs/>
          <w:color w:val="0A1628"/>
          <w:sz w:val="28"/>
          <w:szCs w:val="28"/>
        </w:rPr>
        <w:t xml:space="preserve">7. Conclusion</w:t>
      </w:r>
    </w:p>
    <w:p>
      <w:pPr>
        <w:spacing w:after="120" w:before="60"/>
      </w:pPr>
      <w:r>
        <w:rPr>
          <w:rFonts w:ascii="Arial" w:cs="Arial" w:eastAsia="Arial" w:hAnsi="Arial"/>
          <w:color w:val="4A5568"/>
          <w:sz w:val="22"/>
          <w:szCs w:val="22"/>
        </w:rPr>
        <w:t xml:space="preserve">ThreatLens AI demonstrates a practical, working implementation of the multi-agent intelligence pattern that IBM BOB is designed to enable. The four-agent pipeline (Hunter, Correlator, Context, Analyst) operates on BOB's core principles: specialised agents with tool access, chained reasoning, and a foundation model for synthesis.</w:t>
      </w:r>
    </w:p>
    <w:p>
      <w:pPr>
        <w:spacing w:after="120" w:before="60"/>
      </w:pPr>
      <w:r>
        <w:rPr>
          <w:rFonts w:ascii="Arial" w:cs="Arial" w:eastAsia="Arial" w:hAnsi="Arial"/>
          <w:color w:val="4A5568"/>
          <w:sz w:val="22"/>
          <w:szCs w:val="22"/>
        </w:rPr>
        <w:t xml:space="preserve">BOB was used during prototyping and agent logic design. The production implementation uses GPT-4o-mini for latency reasons but is fully architected for watsonx.ai substitution. The platform is IBM-integration-ready at the infrastructure level.</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280"/>
              <w:bottom w:type="dxa" w:w="200"/>
              <w:right w:type="dxa" w:w="280"/>
            </w:tcMar>
          </w:tcPr>
          <w:p>
            <w:pPr>
              <w:jc w:val="center"/>
            </w:pPr>
            <w:r>
              <w:rPr>
                <w:rFonts w:ascii="Arial" w:cs="Arial" w:eastAsia="Arial" w:hAnsi="Arial"/>
                <w:b/>
                <w:bCs/>
                <w:color w:val="FFFFFF"/>
                <w:sz w:val="20"/>
                <w:szCs w:val="20"/>
              </w:rPr>
              <w:t xml:space="preserve">ThreatLens AI  |  One platform. Global intelligence and endpoint protection, correlated by AI.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Confidential —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4A5568"/>
        <w:sz w:val="18"/>
        <w:szCs w:val="18"/>
      </w:rPr>
      <w:t xml:space="preserve">ThreatLens AI  |  IBM BOB Agent Utilisation Report</w:t>
    </w:r>
    <w:r>
      <w:rPr>
        <w:rFonts w:ascii="Arial" w:cs="Arial" w:eastAsia="Arial" w:hAnsi="Arial"/>
        <w:sz w:val="18"/>
        <w:szCs w:val="18"/>
      </w:rPr>
      <w:t xml:space="preserve">	</w:t>
    </w:r>
    <w:r>
      <w:rPr>
        <w:rFonts w:ascii="Arial" w:cs="Arial" w:eastAsia="Arial" w:hAnsi="Arial"/>
        <w:b/>
        <w:bCs/>
        <w:color w:val="C9A84C"/>
        <w:sz w:val="18"/>
        <w:szCs w:val="18"/>
      </w:rPr>
      <w:t xml:space="preserve">IBM Build on Base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2026-05-17T11:27:16.419Z</dcterms:created>
  <dcterms:modified xsi:type="dcterms:W3CDTF">2026-05-17T11:27:16.419Z</dcterms:modified>
</cp:coreProperties>
</file>

<file path=docProps/custom.xml><?xml version="1.0" encoding="utf-8"?>
<Properties xmlns="http://schemas.openxmlformats.org/officeDocument/2006/custom-properties" xmlns:vt="http://schemas.openxmlformats.org/officeDocument/2006/docPropsVTypes"/>
</file>