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7t6cnvsouwdt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Protocol B – Biochar Grow‑Bag Container Trial (Fall 2025)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cc2qeu9f1n0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  Study Objective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Using portable containers instead of in‑ground plots, test whether a </w:t>
      </w:r>
      <w:r w:rsidDel="00000000" w:rsidR="00000000" w:rsidRPr="00000000">
        <w:rPr>
          <w:b w:val="1"/>
          <w:rtl w:val="0"/>
        </w:rPr>
        <w:t xml:space="preserve">2 % w/w pine‑biochar amendment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raises soil pH ≥ 0.3 units,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increases cation‑exchange capacity (CEC) ≥ 10 cmol c kg⁻¹,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lowers cumulative NO₃⁻ leaching ≥ 25 %, and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improves fresh biomass yield ≥ 15 %</w:t>
        <w:br w:type="textWrapping"/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relative to a compost‑only control during a 10‑week crop cycle.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ieqifc9qxcz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  Experimental Design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1967.1360508205398"/>
        <w:gridCol w:w="7392.86394917946"/>
        <w:tblGridChange w:id="0">
          <w:tblGrid>
            <w:gridCol w:w="1967.1360508205398"/>
            <w:gridCol w:w="7392.86394917946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Specification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Experimental units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Eight </w:t>
            </w:r>
            <w:r w:rsidDel="00000000" w:rsidR="00000000" w:rsidRPr="00000000">
              <w:rPr>
                <w:b w:val="1"/>
                <w:rtl w:val="0"/>
              </w:rPr>
              <w:t xml:space="preserve">25 L fabric grow‑bags</w:t>
            </w:r>
            <w:r w:rsidDel="00000000" w:rsidR="00000000" w:rsidRPr="00000000">
              <w:rPr>
                <w:rtl w:val="0"/>
              </w:rPr>
              <w:t xml:space="preserve"> (Ø 30 cm × 35 cm H) filled with loam + compost (12 kg dry mix).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Treatments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4 Grow‑bags with 2 % w/w pine biochar (</w:t>
            </w:r>
            <w:r w:rsidDel="00000000" w:rsidR="00000000" w:rsidRPr="00000000">
              <w:rPr>
                <w:i w:val="1"/>
                <w:rtl w:val="0"/>
              </w:rPr>
              <w:t xml:space="preserve">B1–B4</w:t>
            </w:r>
            <w:r w:rsidDel="00000000" w:rsidR="00000000" w:rsidRPr="00000000">
              <w:rPr>
                <w:rtl w:val="0"/>
              </w:rPr>
              <w:t xml:space="preserve">) vs. 4 Control grow‑bags (compost only, </w:t>
            </w:r>
            <w:r w:rsidDel="00000000" w:rsidR="00000000" w:rsidRPr="00000000">
              <w:rPr>
                <w:i w:val="1"/>
                <w:rtl w:val="0"/>
              </w:rPr>
              <w:t xml:space="preserve">C1–C4</w:t>
            </w:r>
            <w:r w:rsidDel="00000000" w:rsidR="00000000" w:rsidRPr="00000000">
              <w:rPr>
                <w:rtl w:val="0"/>
              </w:rPr>
              <w:t xml:space="preserve">).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Randomisation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Assign treatment labels randomly at Day 0. </w:t>
            </w:r>
            <w:r w:rsidDel="00000000" w:rsidR="00000000" w:rsidRPr="00000000">
              <w:rPr>
                <w:b w:val="1"/>
                <w:rtl w:val="0"/>
              </w:rPr>
              <w:t xml:space="preserve">Rotate bag positions clockwise</w:t>
            </w:r>
            <w:r w:rsidDel="00000000" w:rsidR="00000000" w:rsidRPr="00000000">
              <w:rPr>
                <w:rtl w:val="0"/>
              </w:rPr>
              <w:t xml:space="preserve"> weekly to minimise micro‑site light &amp; airflow gradients.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Buffering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Leave ≥ 15 cm gap between bags; place on plastic trays to collect leachate.</w:t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uyhtfj2fpy3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3  Crop &amp; Management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Crop mix:</w:t>
      </w:r>
      <w:r w:rsidDel="00000000" w:rsidR="00000000" w:rsidRPr="00000000">
        <w:rPr>
          <w:rtl w:val="0"/>
        </w:rPr>
        <w:t xml:space="preserve"> 4 bush‑bean plants + 8 lettuce seedlings per bag (uniform density).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Watering:</w:t>
      </w:r>
      <w:r w:rsidDel="00000000" w:rsidR="00000000" w:rsidRPr="00000000">
        <w:rPr>
          <w:rtl w:val="0"/>
        </w:rPr>
        <w:t xml:space="preserve"> Irrigate to field capacity (~1.5 L per bag) when soil‑moisture probe reads &lt;15 % v/v.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Fertiliser:</w:t>
      </w:r>
      <w:r w:rsidDel="00000000" w:rsidR="00000000" w:rsidRPr="00000000">
        <w:rPr>
          <w:rtl w:val="0"/>
        </w:rPr>
        <w:t xml:space="preserve"> None beyond initial compost; avoids confounding nutrient inputs.</w:t>
        <w:br w:type="textWrapping"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u99195qivwc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4  Sampling Schedule</w:t>
      </w:r>
    </w:p>
    <w:tbl>
      <w:tblPr>
        <w:tblStyle w:val="Table2"/>
        <w:tblW w:w="9360.0" w:type="dxa"/>
        <w:jc w:val="left"/>
        <w:tblLayout w:type="fixed"/>
        <w:tblLook w:val="0600"/>
      </w:tblPr>
      <w:tblGrid>
        <w:gridCol w:w="2234.7061937533085"/>
        <w:gridCol w:w="7125.293806246691"/>
        <w:tblGridChange w:id="0">
          <w:tblGrid>
            <w:gridCol w:w="2234.7061937533085"/>
            <w:gridCol w:w="7125.293806246691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Week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Activity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Day 0 (Aug 2–3)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• Composite baseline soil sample from each bag: pH, EC, OM, CEC, NO₃⁻, Pb.• Mix biochar into B‑bags (rinsed to EC &lt; 2 dS m⁻¹).• Sow crops; record wet weight of media.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1, 3, 5, 7, 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• pH &amp; EC (1:1 slurry).• Soil‑moisture probe (10 cm depth).</w:t>
            </w:r>
          </w:p>
        </w:tc>
      </w:tr>
      <w:tr>
        <w:trPr>
          <w:cantSplit w:val="0"/>
          <w:trHeight w:val="11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After each deep irrigation or ≥ 0.5″ rain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• Collect tray leachate; measure volume &amp; NO₃⁻ with Merck strip + smartphone RGB photo.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Week 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• Calibrate RGB–NO₃⁻ curve using 5–50 mg L⁻¹ KNO₃ standards.</w:t>
            </w:r>
          </w:p>
        </w:tc>
      </w:tr>
      <w:tr>
        <w:trPr>
          <w:cantSplit w:val="0"/>
          <w:trHeight w:val="8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Week 10 (Nov 3–5)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• Harvest above‑ground biomass → fresh mass; dry 60 °C 48 h → dry mass.• Post‑harvest composite soil sample: pH, CEC, NO₃⁻.</w:t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bpvgnlmsw7o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5  Analytical Methods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pH &amp; EC:</w:t>
      </w:r>
      <w:r w:rsidDel="00000000" w:rsidR="00000000" w:rsidRPr="00000000">
        <w:rPr>
          <w:rtl w:val="0"/>
        </w:rPr>
        <w:t xml:space="preserve"> Apera PH60S; 1:1 soil:H₂O slurry.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CEC:</w:t>
      </w:r>
      <w:r w:rsidDel="00000000" w:rsidR="00000000" w:rsidRPr="00000000">
        <w:rPr>
          <w:rtl w:val="0"/>
        </w:rPr>
        <w:t xml:space="preserve"> NH₄OAc extraction (commercial lab).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NO₃⁻ leachate:</w:t>
      </w:r>
      <w:r w:rsidDel="00000000" w:rsidR="00000000" w:rsidRPr="00000000">
        <w:rPr>
          <w:rtl w:val="0"/>
        </w:rPr>
        <w:t xml:space="preserve"> Merck MQuant 1.10020 strips; RGB analysis via smartphone + Python script.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Biomass:</w:t>
      </w:r>
      <w:r w:rsidDel="00000000" w:rsidR="00000000" w:rsidRPr="00000000">
        <w:rPr>
          <w:rtl w:val="0"/>
        </w:rPr>
        <w:t xml:space="preserve"> Fresh kg bag⁻¹; dry g bag⁻¹.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7d8wimktjf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7  Safety &amp; Ergonomics</w:t>
      </w:r>
    </w:p>
    <w:tbl>
      <w:tblPr>
        <w:tblStyle w:val="Table3"/>
        <w:tblW w:w="8770.0" w:type="dxa"/>
        <w:jc w:val="left"/>
        <w:tblLayout w:type="fixed"/>
        <w:tblLook w:val="0600"/>
      </w:tblPr>
      <w:tblGrid>
        <w:gridCol w:w="3665"/>
        <w:gridCol w:w="5105"/>
        <w:tblGridChange w:id="0">
          <w:tblGrid>
            <w:gridCol w:w="3665"/>
            <w:gridCol w:w="510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Hazard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Control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Biochar dust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N95 respirator; mist char with water while mixing.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Heavy lifting (wet bags ≈ 15 kg)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Lift with bent knees; move on a dolly if possible.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Dilute acid/base in RGB calibration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Gloves, goggles; neutralise waste with NaHCO₃.</w:t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85tysjbg4bq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8  Data Management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Raw .csv logs, RGB scripts, and protocol stored in GitHub repo </w:t>
      </w:r>
      <w:r w:rsidDel="00000000" w:rsidR="00000000" w:rsidRPr="00000000">
        <w:rPr>
          <w:b w:val="1"/>
          <w:rtl w:val="0"/>
        </w:rPr>
        <w:t xml:space="preserve">Biochar_Garden_Project</w:t>
      </w:r>
      <w:r w:rsidDel="00000000" w:rsidR="00000000" w:rsidRPr="00000000">
        <w:rPr>
          <w:rtl w:val="0"/>
        </w:rPr>
        <w:t xml:space="preserve">; DOI via Zenodo.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Version tags: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v0.1</w:t>
      </w:r>
      <w:r w:rsidDel="00000000" w:rsidR="00000000" w:rsidRPr="00000000">
        <w:rPr>
          <w:rtl w:val="0"/>
        </w:rPr>
        <w:t xml:space="preserve"> (baseline),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v0.2</w:t>
      </w:r>
      <w:r w:rsidDel="00000000" w:rsidR="00000000" w:rsidRPr="00000000">
        <w:rPr>
          <w:rtl w:val="0"/>
        </w:rPr>
        <w:t xml:space="preserve"> (mid‑season),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v1.0</w:t>
      </w:r>
      <w:r w:rsidDel="00000000" w:rsidR="00000000" w:rsidRPr="00000000">
        <w:rPr>
          <w:rtl w:val="0"/>
        </w:rPr>
        <w:t xml:space="preserve"> (final dataset).</w:t>
        <w:br w:type="textWrapping"/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i w:val="1"/>
          <w:rtl w:val="0"/>
        </w:rPr>
        <w:t xml:space="preserve">Revision 1 | 21 May 2025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