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Biochar Amendment Trial – Co-op Garden (Fall 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• Quantify effect of 2 % w/w pine-derived biochar on pH, CEC, NO₃⁻ leaching, and yield.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H0: μ_yield(biochar) = μ_yield(control)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H1: μ_yield(biochar) &gt; μ_yield(control) by ≥ 15 %.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Site &amp; Layout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• 25 m² loam bed, Zone 9b.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• 8 plots (1 m × 2 m), RCBD; 4 biochar, 4 control.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• Pine biochar, sieved 2–5 mm, rinsed EC &lt; 2 dS m⁻¹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• Compost 2.5 cm uniform across all plots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• Apera PH60S meter; Merckoquant 1.10020 strips; PVC lysimeter cups (depth 25 cm)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 Baseline composite soil sample → lab panel (pH, OM, CEC, NO₃⁻/NH₄⁺, Pb).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2. Incorporate biochar 2 kg m⁻² into treatment plots (7 Aug 25).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3. Sow bush beans + lettuce (8 Aug 25).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 Weekly: pH/EC/moisture; after ≥ 0.5″ rain: collect lysimeter water, read strip (RGB).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5. Harvest biomass wk 10; dry 60 °C 48 h; weigh.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• Shapiro → one-way ANOVA (yield &amp; pH); repeated-measures ANOVA for NO₃⁻.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• α = 0.05; post-hoc Tukey.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• N95 + nitrile while handling biochar; wash hands.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• Store 5 % NaHCO₃ for neutralising dilute acids.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Authorship &amp;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• PI: Reina Vargas (contact).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• Raw data logged in Google Sheet, backed up to OSF nightly.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