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itial-post"/>
    <w:p>
      <w:pPr>
        <w:pStyle w:val="Heading1"/>
        <w:spacing w:line="276" w:lineRule="auto" w:before="0" w:after="120"/>
      </w:pPr>
      <w:r>
        <w:rPr>
          <w:rFonts w:ascii="Times New Roman" w:hAnsi="Times New Roman" w:eastAsia="Times New Roman" w:cs="Times New Roman"/>
          <w:b/>
          <w:color w:val="000000"/>
          <w:sz w:val="24"/>
        </w:rPr>
        <w:t xml:space="preserve">Initial Post</w:t>
      </w:r>
    </w:p>
    <w:p>
      <w:pPr>
        <w:pStyle w:val="FirstParagraph"/>
        <w:spacing w:line="276" w:lineRule="auto" w:before="0" w:after="120"/>
      </w:pPr>
      <w:r>
        <w:rPr>
          <w:rFonts w:ascii="Times New Roman" w:hAnsi="Times New Roman" w:eastAsia="Times New Roman" w:cs="Times New Roman"/>
          <w:color w:val="000000"/>
          <w:sz w:val="24"/>
        </w:rPr>
        <w:t xml:space="preserve">Chapter 7 of College Success argues that college develops several kinds of higher-level thinking, including creative, analytical, critical, and problem-solving thinking, along with metacognition and information literacy (Baldwin, 2020). Honestly, the assignment I questioned most so far was the Week 5 course tour, where I recorded a three- to four-minute video tour of an online course in Canvas, explaining the home page, the left menu, modules, assignments, and rubrics. I already knew how to use Canvas, so narrating what I could already see felt pointless.</w:t>
      </w:r>
    </w:p>
    <w:p>
      <w:pPr>
        <w:pStyle w:val="BodyText"/>
        <w:spacing w:line="276" w:lineRule="auto" w:before="0" w:after="120"/>
      </w:pPr>
      <w:r>
        <w:rPr>
          <w:rFonts w:ascii="Times New Roman" w:hAnsi="Times New Roman" w:eastAsia="Times New Roman" w:cs="Times New Roman"/>
          <w:color w:val="000000"/>
          <w:sz w:val="24"/>
        </w:rPr>
        <w:t xml:space="preserve">Looking back, the assignment practiced analytical thinking. Baldwin (2020) describes this as working through a whole by breaking it into component parts, and separating the course into its menu, modules, and assignments made its hierarchy visible. Explaining why the instructor placed items in that order required critical thinking, because I had to question what the layout emphasized rather than assume it. Noting which modules open on set dates and how rubrics define success also involved metacognition: planning, tracking, and assessing my own work (Baldwin, 2020). The Vanderbilt University Center for Teaching (n.d.) places analyzing and evaluating above simple recall in the revised Bloom’s taxonomy, which the video demanded.</w:t>
      </w:r>
    </w:p>
    <w:p>
      <w:pPr>
        <w:pStyle w:val="BodyText"/>
        <w:spacing w:line="276" w:lineRule="auto" w:before="0" w:after="120"/>
      </w:pPr>
      <w:r>
        <w:rPr>
          <w:rFonts w:ascii="Times New Roman" w:hAnsi="Times New Roman" w:eastAsia="Times New Roman" w:cs="Times New Roman"/>
          <w:color w:val="000000"/>
          <w:sz w:val="24"/>
        </w:rPr>
        <w:t xml:space="preserve">These skills transfer to finance. When I open an annual report or a set of financial statements, I need to ask what appears first, how the sections build on each other, and what the company chose to emphasize. Knowing how performance is measured helps me judge the results. I set the rates and manage payments for the party entertainment business I run with my dad, including paying our partners and him. Reading how a system is organized is the same skill, whether the system is an online course or a company’s books.</w:t>
      </w:r>
    </w:p>
    <w:bookmarkStart w:id="20" w:name="references"/>
    <w:p>
      <w:pPr>
        <w:pStyle w:val="Heading2"/>
        <w:spacing w:line="276" w:lineRule="auto" w:before="0" w:after="120"/>
      </w:pPr>
      <w:r>
        <w:rPr>
          <w:rFonts w:ascii="Times New Roman" w:hAnsi="Times New Roman" w:eastAsia="Times New Roman" w:cs="Times New Roman"/>
          <w:b/>
          <w:color w:val="000000"/>
          <w:sz w:val="24"/>
        </w:rPr>
        <w:t xml:space="preserve">References</w:t>
      </w:r>
    </w:p>
    <w:p>
      <w:pPr>
        <w:pStyle w:val="FirstParagraph"/>
        <w:spacing w:line="276" w:lineRule="auto" w:before="0" w:after="120"/>
      </w:pPr>
      <w:r>
        <w:rPr>
          <w:rFonts w:ascii="Times New Roman" w:hAnsi="Times New Roman" w:eastAsia="Times New Roman" w:cs="Times New Roman"/>
          <w:color w:val="000000"/>
          <w:sz w:val="24"/>
        </w:rPr>
        <w:t xml:space="preserve">Baldwin, A. (2020).</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OpenStax. https://openstax.org/details/books/college-success</w:t>
      </w:r>
    </w:p>
    <w:p>
      <w:pPr>
        <w:pStyle w:val="BodyText"/>
        <w:spacing w:line="276" w:lineRule="auto" w:before="0" w:after="120"/>
      </w:pPr>
      <w:r>
        <w:rPr>
          <w:rFonts w:ascii="Times New Roman" w:hAnsi="Times New Roman" w:eastAsia="Times New Roman" w:cs="Times New Roman"/>
          <w:color w:val="000000"/>
          <w:sz w:val="24"/>
        </w:rPr>
        <w:t xml:space="preserve">Vanderbilt University Center for Teaching. (n.d.).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Bloom’s taxonomy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[PDF]. https://cft.vanderbilt.edu/wp-content/uploads/sites/59/Blooms-Taxonomy.pdf</w:t>
      </w:r>
    </w:p>
    <w:bookmarkEnd w:id="20"/>
    <w:bookmarkEnd w:id="21"/>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2026-10-08T23:17:47Z</dcterms:created>
  <dcterms:modified xsi:type="dcterms:W3CDTF">2026-10-08T23:17:47Z</dcterms:modified>
</cp:coreProperties>
</file>

<file path=docProps/custom.xml><?xml version="1.0" encoding="utf-8"?>
<Properties xmlns="http://schemas.openxmlformats.org/officeDocument/2006/custom-properties" xmlns:vt="http://schemas.openxmlformats.org/officeDocument/2006/docPropsVTypes"/>
</file>