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itial-post"/>
    <w:p>
      <w:pPr>
        <w:pStyle w:val="Heading1"/>
        <w:spacing w:line="276" w:lineRule="auto" w:before="0" w:after="120"/>
      </w:pPr>
      <w:r>
        <w:rPr>
          <w:rFonts w:ascii="Times New Roman" w:hAnsi="Times New Roman" w:eastAsia="Times New Roman" w:cs="Times New Roman"/>
          <w:b/>
          <w:color w:val="000000"/>
          <w:sz w:val="24"/>
        </w:rPr>
        <w:t xml:space="preserve">Initial Post</w:t>
      </w:r>
    </w:p>
    <w:p>
      <w:pPr>
        <w:pStyle w:val="FirstParagraph"/>
        <w:spacing w:line="276" w:lineRule="auto" w:before="0" w:after="120"/>
      </w:pPr>
      <w:r>
        <w:rPr>
          <w:rFonts w:ascii="Times New Roman" w:hAnsi="Times New Roman" w:eastAsia="Times New Roman" w:cs="Times New Roman"/>
          <w:color w:val="000000"/>
          <w:sz w:val="24"/>
        </w:rPr>
        <w:t xml:space="preserve">Chapter 7 of College Success argues that college develops several kinds of higher-level thinking, including creative, analytical, critical, and problem-solving thinking, along with metacognition and information literacy (Baldwin, 2020). In my first-semester composition course, I was assigned an annotated bibliography of five sources for a research paper. At the time, it seemed pointless. I already knew how to search, and each entry felt like paperwork.</w:t>
      </w:r>
    </w:p>
    <w:p>
      <w:pPr>
        <w:pStyle w:val="BodyText"/>
        <w:spacing w:line="276" w:lineRule="auto" w:before="0" w:after="120"/>
      </w:pPr>
      <w:r>
        <w:rPr>
          <w:rFonts w:ascii="Times New Roman" w:hAnsi="Times New Roman" w:eastAsia="Times New Roman" w:cs="Times New Roman"/>
          <w:color w:val="000000"/>
          <w:sz w:val="24"/>
        </w:rPr>
        <w:t xml:space="preserve">Looking back, the assignment gave me practice with several of the thinking skills Baldwin (2020) describes. Summarizing each article required analytical thinking, because I had to separate a source into its component parts and explain how those parts connected to my topic. Deciding whether a source was current and credible required information literacy and critical thinking, including checking the author’s credentials and possible bias. The Vanderbilt University Center for Teaching (n.d.) notes that the revised Bloom’s taxonomy ranks analyzing, evaluating, and creating above simply remembering facts.</w:t>
      </w:r>
    </w:p>
    <w:p>
      <w:pPr>
        <w:pStyle w:val="BodyText"/>
        <w:spacing w:line="276" w:lineRule="auto" w:before="0" w:after="120"/>
      </w:pPr>
      <w:r>
        <w:rPr>
          <w:rFonts w:ascii="Times New Roman" w:hAnsi="Times New Roman" w:eastAsia="Times New Roman" w:cs="Times New Roman"/>
          <w:color w:val="000000"/>
          <w:sz w:val="24"/>
        </w:rPr>
        <w:t xml:space="preserve">These habits will matter in finance. When I read analyst reports, earnings releases, or financial news, I need to check who wrote the piece, when it was published, and whether the author has a stake in the conclusion, the same process I used for my sources. Writing a short annotation also prepares me to summarize a company’s financial statements accurately, stating the main figures and what they suggest without adding my own opinion. When I compare two loan or investment options, I can use the problem-solving sequence Baldwin (2020) outlines: determine the issue, recognize other perspectives, think of multiple possible results, research and evaluate them, select the best, communicate findings, and establish action items. The bibliography was not pointless after all. It taught me to examine a source before I trust it.</w:t>
      </w:r>
    </w:p>
    <w:bookmarkStart w:id="20" w:name="references"/>
    <w:p>
      <w:pPr>
        <w:pStyle w:val="Heading2"/>
        <w:spacing w:line="276" w:lineRule="auto" w:before="0" w:after="120"/>
      </w:pPr>
      <w:r>
        <w:rPr>
          <w:rFonts w:ascii="Times New Roman" w:hAnsi="Times New Roman" w:eastAsia="Times New Roman" w:cs="Times New Roman"/>
          <w:b/>
          <w:color w:val="000000"/>
          <w:sz w:val="24"/>
        </w:rPr>
        <w:t xml:space="preserve">References</w:t>
      </w:r>
    </w:p>
    <w:p>
      <w:pPr>
        <w:pStyle w:val="FirstParagraph"/>
        <w:spacing w:line="276" w:lineRule="auto" w:before="0" w:after="120"/>
      </w:pPr>
      <w:r>
        <w:rPr>
          <w:rFonts w:ascii="Times New Roman" w:hAnsi="Times New Roman" w:eastAsia="Times New Roman" w:cs="Times New Roman"/>
          <w:color w:val="000000"/>
          <w:sz w:val="24"/>
        </w:rPr>
        <w:t xml:space="preserve">Baldwin, A. (2020).</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OpenStax. https://openstax.org/details/books/college-success</w:t>
      </w:r>
    </w:p>
    <w:p>
      <w:pPr>
        <w:pStyle w:val="BodyText"/>
        <w:spacing w:line="276" w:lineRule="auto" w:before="0" w:after="120"/>
      </w:pPr>
      <w:r>
        <w:rPr>
          <w:rFonts w:ascii="Times New Roman" w:hAnsi="Times New Roman" w:eastAsia="Times New Roman" w:cs="Times New Roman"/>
          <w:color w:val="000000"/>
          <w:sz w:val="24"/>
        </w:rPr>
        <w:t xml:space="preserve">Vanderbilt University Center for Teaching. (n.d.).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Bloom’s taxonomy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[PDF]. https://cft.vanderbilt.edu/wp-content/uploads/sites/59/Blooms-Taxonomy.pdf</w:t>
      </w:r>
    </w:p>
    <w:bookmarkEnd w:id="20"/>
    <w:bookmarkEnd w:id="21"/>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2026-10-08T22:41:44Z</dcterms:created>
  <dcterms:modified xsi:type="dcterms:W3CDTF">2026-10-08T22:41:44Z</dcterms:modified>
</cp:coreProperties>
</file>

<file path=docProps/custom.xml><?xml version="1.0" encoding="utf-8"?>
<Properties xmlns="http://schemas.openxmlformats.org/officeDocument/2006/custom-properties" xmlns:vt="http://schemas.openxmlformats.org/officeDocument/2006/docPropsVTypes"/>
</file>