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iscussion-replies"/>
    <w:p>
      <w:pPr>
        <w:pStyle w:val="Heading1"/>
        <w:spacing w:line="276" w:lineRule="auto" w:before="0" w:after="120"/>
      </w:pPr>
      <w:r>
        <w:rPr>
          <w:rFonts w:ascii="Times New Roman" w:hAnsi="Times New Roman" w:eastAsia="Times New Roman" w:cs="Times New Roman"/>
          <w:b/>
          <w:color w:val="000000"/>
          <w:sz w:val="24"/>
        </w:rPr>
        <w:t xml:space="preserve">Discussion Replies</w:t>
      </w:r>
    </w:p>
    <w:bookmarkStart w:id="20" w:name="reply-to-carson-peoples"/>
    <w:p>
      <w:pPr>
        <w:pStyle w:val="Heading2"/>
        <w:spacing w:line="276" w:lineRule="auto" w:before="0" w:after="120"/>
      </w:pPr>
      <w:r>
        <w:rPr>
          <w:rFonts w:ascii="Times New Roman" w:hAnsi="Times New Roman" w:eastAsia="Times New Roman" w:cs="Times New Roman"/>
          <w:b/>
          <w:color w:val="000000"/>
          <w:sz w:val="24"/>
        </w:rPr>
        <w:t xml:space="preserve">Reply to Carson Peoples</w:t>
      </w:r>
    </w:p>
    <w:p>
      <w:pPr>
        <w:pStyle w:val="FirstParagraph"/>
        <w:spacing w:line="276" w:lineRule="auto" w:before="0" w:after="120"/>
      </w:pPr>
      <w:r>
        <w:rPr>
          <w:rFonts w:ascii="Times New Roman" w:hAnsi="Times New Roman" w:eastAsia="Times New Roman" w:cs="Times New Roman"/>
          <w:color w:val="000000"/>
          <w:sz w:val="24"/>
        </w:rPr>
        <w:t xml:space="preserve">Hi Carson, I can relate to how tight your schedule is. Seventeen hours plus volleyball is a lot, so it makes sense that an extra note-taking experiment felt like lost time. What stood out to me is that you already did what this assignment was aiming for back in sixth grade: you tested different methods and chose the one that fits how your brain works. Baldwin (2020) calls that metacognition, which means planning, tracking, and assessing how you learn. In a way, the assignment confirmed your system instead of replacing it. I’m curious: when you get to heavier petroleum engineering courses with formulas and data, do you think a charting method could help in some classes, even if it isn’t your main style?</w:t>
      </w:r>
    </w:p>
    <w:p>
      <w:pPr>
        <w:pStyle w:val="BodyText"/>
        <w:spacing w:line="276" w:lineRule="auto" w:before="0" w:after="120"/>
      </w:pPr>
      <w:r>
        <w:rPr>
          <w:rFonts w:ascii="Times New Roman" w:hAnsi="Times New Roman" w:eastAsia="Times New Roman" w:cs="Times New Roman"/>
          <w:color w:val="000000"/>
          <w:sz w:val="24"/>
        </w:rPr>
        <w:t xml:space="preserve">Reference: Baldwin, A. (2020).</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OpenStax. https://openstax.org/details/books/college-success</w:t>
      </w:r>
    </w:p>
    <w:bookmarkEnd w:id="20"/>
    <w:bookmarkStart w:id="21" w:name="reply-to-valentin-nunez"/>
    <w:p>
      <w:pPr>
        <w:pStyle w:val="Heading2"/>
        <w:spacing w:line="276" w:lineRule="auto" w:before="0" w:after="120"/>
      </w:pPr>
      <w:r>
        <w:rPr>
          <w:rFonts w:ascii="Times New Roman" w:hAnsi="Times New Roman" w:eastAsia="Times New Roman" w:cs="Times New Roman"/>
          <w:b/>
          <w:color w:val="000000"/>
          <w:sz w:val="24"/>
        </w:rPr>
        <w:t xml:space="preserve">Reply to Valentin Nunez</w:t>
      </w:r>
    </w:p>
    <w:p>
      <w:pPr>
        <w:pStyle w:val="FirstParagraph"/>
        <w:spacing w:line="276" w:lineRule="auto" w:before="0" w:after="120"/>
      </w:pPr>
      <w:r>
        <w:rPr>
          <w:rFonts w:ascii="Times New Roman" w:hAnsi="Times New Roman" w:eastAsia="Times New Roman" w:cs="Times New Roman"/>
          <w:color w:val="000000"/>
          <w:sz w:val="24"/>
        </w:rPr>
        <w:t xml:space="preserve">Hi Valentin, I like how honest you were about changing your mind on this assignment. Your point about deciding what information is actually important, instead of writing down everything the professor says, is a good example of analytical thinking, which Baldwin (2020) describes as breaking a whole into its component parts. It also connects to my own post, because my Week 5 Canvas tour felt pointless at first and ended up teaching me to look at how information is organized. Since you mentioned working with calculations and data in petroleum engineering, which method helped you most with numbers: outlining, charting, or Cornell notes? I’m in finance, and I’m wondering whether charting works better for formulas than writing everything out in sentences.</w:t>
      </w:r>
    </w:p>
    <w:p>
      <w:pPr>
        <w:pStyle w:val="BodyText"/>
        <w:spacing w:line="276" w:lineRule="auto" w:before="0" w:after="120"/>
      </w:pPr>
      <w:r>
        <w:rPr>
          <w:rFonts w:ascii="Times New Roman" w:hAnsi="Times New Roman" w:eastAsia="Times New Roman" w:cs="Times New Roman"/>
          <w:color w:val="000000"/>
          <w:sz w:val="24"/>
        </w:rPr>
        <w:t xml:space="preserve">Reference: Baldwin, A. (2020).</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OpenStax. https://openstax.org/details/books/college-success</w:t>
      </w:r>
    </w:p>
    <w:bookmarkEnd w:id="21"/>
    <w:bookmarkStart w:id="22" w:name="reply-to-edith-olivo"/>
    <w:p>
      <w:pPr>
        <w:pStyle w:val="Heading2"/>
        <w:spacing w:line="276" w:lineRule="auto" w:before="0" w:after="120"/>
      </w:pPr>
      <w:r>
        <w:rPr>
          <w:rFonts w:ascii="Times New Roman" w:hAnsi="Times New Roman" w:eastAsia="Times New Roman" w:cs="Times New Roman"/>
          <w:b/>
          <w:color w:val="000000"/>
          <w:sz w:val="24"/>
        </w:rPr>
        <w:t xml:space="preserve">Reply to Edith Olivo</w:t>
      </w:r>
    </w:p>
    <w:p>
      <w:pPr>
        <w:pStyle w:val="FirstParagraph"/>
        <w:spacing w:line="276" w:lineRule="auto" w:before="0" w:after="120"/>
      </w:pPr>
      <w:r>
        <w:rPr>
          <w:rFonts w:ascii="Times New Roman" w:hAnsi="Times New Roman" w:eastAsia="Times New Roman" w:cs="Times New Roman"/>
          <w:color w:val="000000"/>
          <w:sz w:val="24"/>
        </w:rPr>
        <w:t xml:space="preserve">Hi Edith, we picked the same assignment! I also chose the Canvas tour video as the one I questioned most. I agree that it was analytical thinking, since we had to break the course down into its menu, modules, and assignments (Baldwin, 2020). I would add that explaining it out loud is a good test of understanding, because it is hard to explain a structure you don’t really get. Since you’re in accounting and I’m in finance, I think this skill will show up when we read financial statements: you need to know how the sections are organized before the numbers make sense. Could you say more about how explaining things to others fits into accounting? I usually picture accountants working alone, so I’d like to hear how you see that part of the job.</w:t>
      </w:r>
    </w:p>
    <w:p>
      <w:pPr>
        <w:pStyle w:val="BodyText"/>
        <w:spacing w:line="276" w:lineRule="auto" w:before="0" w:after="120"/>
      </w:pPr>
      <w:r>
        <w:rPr>
          <w:rFonts w:ascii="Times New Roman" w:hAnsi="Times New Roman" w:eastAsia="Times New Roman" w:cs="Times New Roman"/>
          <w:color w:val="000000"/>
          <w:sz w:val="24"/>
        </w:rPr>
        <w:t xml:space="preserve">Reference: Baldwin, A. (2020).</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OpenStax. https://openstax.org/details/books/college-success</w:t>
      </w:r>
    </w:p>
    <w:bookmarkEnd w:id="22"/>
    <w:bookmarkStart w:id="23" w:name="reply-to-gabriela-parsley"/>
    <w:p>
      <w:pPr>
        <w:pStyle w:val="Heading2"/>
        <w:spacing w:line="276" w:lineRule="auto" w:before="0" w:after="120"/>
      </w:pPr>
      <w:r>
        <w:rPr>
          <w:rFonts w:ascii="Times New Roman" w:hAnsi="Times New Roman" w:eastAsia="Times New Roman" w:cs="Times New Roman"/>
          <w:b/>
          <w:color w:val="000000"/>
          <w:sz w:val="24"/>
        </w:rPr>
        <w:t xml:space="preserve">Reply to Gabriela Parsley</w:t>
      </w:r>
    </w:p>
    <w:p>
      <w:pPr>
        <w:pStyle w:val="FirstParagraph"/>
        <w:spacing w:line="276" w:lineRule="auto" w:before="0" w:after="120"/>
      </w:pPr>
      <w:r>
        <w:rPr>
          <w:rFonts w:ascii="Times New Roman" w:hAnsi="Times New Roman" w:eastAsia="Times New Roman" w:cs="Times New Roman"/>
          <w:color w:val="000000"/>
          <w:sz w:val="24"/>
        </w:rPr>
        <w:t xml:space="preserve">Hi Gabriela, I had not thought of repetitive discussion boards as useful, but you make a good point that going over the same material many times can deepen your understanding instead of just repeating it. That sounds like what Baldwin (2020) calls metacognition, because each week you were checking what you already knew and tracking what the book said was important. I’m curious about one part: you said you used larger, more expressive words to emphasize your points. Did that help you understand the material better, or was it more about keeping your posts from sounding the same? I ask because in my communication class I’m learning that clear, simple wording often connects better with an audience than bigger words.</w:t>
      </w:r>
    </w:p>
    <w:p>
      <w:pPr>
        <w:pStyle w:val="BodyText"/>
        <w:spacing w:line="276" w:lineRule="auto" w:before="0" w:after="120"/>
      </w:pPr>
      <w:r>
        <w:rPr>
          <w:rFonts w:ascii="Times New Roman" w:hAnsi="Times New Roman" w:eastAsia="Times New Roman" w:cs="Times New Roman"/>
          <w:color w:val="000000"/>
          <w:sz w:val="24"/>
        </w:rPr>
        <w:t xml:space="preserve">Reference: Baldwin, A. (2020).</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College success</w:t>
      </w:r>
      <w:r>
        <w:rPr>
          <w:rFonts w:ascii="Times New Roman" w:hAnsi="Times New Roman" w:eastAsia="Times New Roman" w:cs="Times New Roman"/>
          <w:color w:val="000000"/>
          <w:sz w:val="24"/>
        </w:rPr>
        <w:t xml:space="preserve">. OpenStax. https://openstax.org/details/books/college-success</w:t>
      </w:r>
    </w:p>
    <w:bookmarkEnd w:id="23"/>
    <w:bookmarkEnd w:id="2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2026-10-09T23:34:38Z</dcterms:created>
  <dcterms:modified xsi:type="dcterms:W3CDTF">2026-10-09T23:34:38Z</dcterms:modified>
</cp:coreProperties>
</file>

<file path=docProps/custom.xml><?xml version="1.0" encoding="utf-8"?>
<Properties xmlns="http://schemas.openxmlformats.org/officeDocument/2006/custom-properties" xmlns:vt="http://schemas.openxmlformats.org/officeDocument/2006/docPropsVTypes"/>
</file>